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08F18E47" w:rsidR="00E66558" w:rsidRPr="00C367C8" w:rsidRDefault="00C367C8">
      <w:pPr>
        <w:pStyle w:val="Heading1"/>
        <w:rPr>
          <w:color w:val="000000" w:themeColor="text1"/>
        </w:rPr>
      </w:pPr>
      <w:bookmarkStart w:id="0" w:name="_Toc400361362"/>
      <w:bookmarkStart w:id="1" w:name="_Toc443397153"/>
      <w:bookmarkStart w:id="2" w:name="_Toc357771638"/>
      <w:bookmarkStart w:id="3" w:name="_Toc346793416"/>
      <w:bookmarkStart w:id="4" w:name="_Toc328122777"/>
      <w:r w:rsidRPr="00C367C8">
        <w:rPr>
          <w:color w:val="000000" w:themeColor="text1"/>
        </w:rPr>
        <w:t>P</w:t>
      </w:r>
      <w:r w:rsidR="009D71E8" w:rsidRPr="00C367C8">
        <w:rPr>
          <w:color w:val="000000" w:themeColor="text1"/>
        </w:rPr>
        <w:t>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0F986E6F"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B70D99">
        <w:rPr>
          <w:b w:val="0"/>
          <w:bCs/>
          <w:color w:val="auto"/>
          <w:sz w:val="24"/>
          <w:szCs w:val="24"/>
        </w:rPr>
        <w:t>2</w:t>
      </w:r>
      <w:r>
        <w:rPr>
          <w:b w:val="0"/>
          <w:bCs/>
          <w:color w:val="auto"/>
          <w:sz w:val="24"/>
          <w:szCs w:val="24"/>
        </w:rPr>
        <w:t xml:space="preserve"> to 202</w:t>
      </w:r>
      <w:r w:rsidR="00B70D99">
        <w:rPr>
          <w:b w:val="0"/>
          <w:bCs/>
          <w:color w:val="auto"/>
          <w:sz w:val="24"/>
          <w:szCs w:val="24"/>
        </w:rPr>
        <w:t>3</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C367C8" w:rsidRDefault="009D71E8">
      <w:pPr>
        <w:pStyle w:val="Heading2"/>
        <w:rPr>
          <w:color w:val="000000" w:themeColor="text1"/>
        </w:rPr>
      </w:pPr>
      <w:r w:rsidRPr="00C367C8">
        <w:rPr>
          <w:color w:val="000000" w:themeColor="text1"/>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12908">
        <w:tc>
          <w:tcPr>
            <w:tcW w:w="6517"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8" w14:textId="77777777" w:rsidR="00E66558" w:rsidRDefault="009D71E8" w:rsidP="00E75C45">
            <w:pPr>
              <w:pStyle w:val="TableRow"/>
              <w:ind w:left="0"/>
            </w:pPr>
            <w:r>
              <w:t>School name</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9" w14:textId="1FDE84E5" w:rsidR="00E66558" w:rsidRDefault="006126DA" w:rsidP="00332DC7">
            <w:pPr>
              <w:pStyle w:val="TableRow"/>
              <w:ind w:left="0"/>
            </w:pPr>
            <w:r>
              <w:t>Engage Academy</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B" w14:textId="77777777" w:rsidR="00E66558" w:rsidRDefault="009D71E8" w:rsidP="00E75C45">
            <w:pPr>
              <w:pStyle w:val="TableRow"/>
              <w:ind w:left="0"/>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C" w14:textId="3EDE5B27" w:rsidR="00E66558" w:rsidRDefault="006126DA" w:rsidP="00C367C8">
            <w:pPr>
              <w:pStyle w:val="TableRow"/>
              <w:ind w:left="0"/>
            </w:pPr>
            <w:r>
              <w:t>28</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E" w14:textId="77777777" w:rsidR="00E66558" w:rsidRDefault="009D71E8" w:rsidP="00E75C45">
            <w:pPr>
              <w:pStyle w:val="TableRow"/>
              <w:ind w:left="0"/>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F" w14:textId="423FF1DD" w:rsidR="00E66558" w:rsidRPr="00AE16D3" w:rsidRDefault="00AE16D3" w:rsidP="00332DC7">
            <w:pPr>
              <w:pStyle w:val="TableRow"/>
              <w:ind w:left="0"/>
            </w:pPr>
            <w:r>
              <w:t>39</w:t>
            </w:r>
            <w:r w:rsidR="00332DC7" w:rsidRPr="00AE16D3">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1" w14:textId="77777777" w:rsidR="00E66558" w:rsidRDefault="009D71E8" w:rsidP="00E75C45">
            <w:pPr>
              <w:pStyle w:val="TableRow"/>
              <w:ind w:left="0"/>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2" w14:textId="504E2AB7" w:rsidR="00E66558" w:rsidRDefault="00332DC7" w:rsidP="00332DC7">
            <w:pPr>
              <w:pStyle w:val="TableRow"/>
              <w:ind w:left="0"/>
            </w:pPr>
            <w:r>
              <w:t>2022/202</w:t>
            </w:r>
            <w:r w:rsidR="00F73647">
              <w:t>5</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4" w14:textId="77777777" w:rsidR="00E66558" w:rsidRDefault="009D71E8" w:rsidP="00E75C45">
            <w:pPr>
              <w:pStyle w:val="TableRow"/>
              <w:ind w:left="0"/>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543A7F5E" w:rsidR="00E66558" w:rsidRDefault="00537F80" w:rsidP="00332DC7">
            <w:pPr>
              <w:pStyle w:val="TableRow"/>
              <w:ind w:left="0"/>
            </w:pPr>
            <w:r>
              <w:t>September</w:t>
            </w:r>
            <w:r w:rsidR="00332DC7">
              <w:t xml:space="preserve"> 202</w:t>
            </w:r>
            <w:r w:rsidR="00AE16D3">
              <w:t>2</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7" w14:textId="77777777" w:rsidR="00E66558" w:rsidRDefault="009D71E8" w:rsidP="00E75C45">
            <w:pPr>
              <w:pStyle w:val="TableRow"/>
              <w:ind w:left="0"/>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8" w14:textId="5B3633FA" w:rsidR="00E66558" w:rsidRDefault="00537F80" w:rsidP="00332DC7">
            <w:pPr>
              <w:pStyle w:val="TableRow"/>
              <w:ind w:left="0"/>
            </w:pPr>
            <w:r>
              <w:t>July</w:t>
            </w:r>
            <w:r w:rsidR="00332DC7">
              <w:t xml:space="preserve"> 202</w:t>
            </w:r>
            <w:r w:rsidR="00AE16D3">
              <w:t>4</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A" w14:textId="77777777" w:rsidR="00E66558" w:rsidRDefault="009D71E8" w:rsidP="00E75C45">
            <w:pPr>
              <w:pStyle w:val="TableRow"/>
              <w:ind w:left="0"/>
            </w:pPr>
            <w:r>
              <w:t>Statement authorised by</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B" w14:textId="3F1D21F3" w:rsidR="00E66558" w:rsidRDefault="00332DC7" w:rsidP="00332DC7">
            <w:pPr>
              <w:pStyle w:val="TableRow"/>
              <w:ind w:left="0"/>
            </w:pPr>
            <w:r>
              <w:t>Alison Ward, Head Teacher</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D" w14:textId="77777777" w:rsidR="00E66558" w:rsidRDefault="009D71E8" w:rsidP="00E75C45">
            <w:pPr>
              <w:pStyle w:val="TableRow"/>
              <w:ind w:left="0"/>
            </w:pPr>
            <w:r>
              <w:t>Pupil premium 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E" w14:textId="0D88715F" w:rsidR="00E66558" w:rsidRDefault="00E75C45" w:rsidP="00E75C45">
            <w:pPr>
              <w:pStyle w:val="TableRow"/>
              <w:ind w:left="0"/>
            </w:pPr>
            <w:r>
              <w:t xml:space="preserve">Gemma Fellows, </w:t>
            </w:r>
            <w:r w:rsidR="00794E38">
              <w:t xml:space="preserve">Deputy </w:t>
            </w:r>
            <w:r>
              <w:t>Head Teacher</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0" w14:textId="4B944B2F" w:rsidR="00E66558" w:rsidRDefault="009D71E8" w:rsidP="00E75C45">
            <w:pPr>
              <w:pStyle w:val="TableRow"/>
              <w:ind w:left="0"/>
            </w:pPr>
            <w:r>
              <w:rPr>
                <w:szCs w:val="22"/>
              </w:rPr>
              <w:t xml:space="preserve">Trustee </w:t>
            </w:r>
            <w:r>
              <w:t>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1" w14:textId="31E536AC" w:rsidR="00E66558" w:rsidRDefault="00E75C45" w:rsidP="00E75C45">
            <w:pPr>
              <w:pStyle w:val="TableRow"/>
              <w:ind w:left="0"/>
            </w:pPr>
            <w:r>
              <w:t>Donna Tandy</w:t>
            </w:r>
          </w:p>
        </w:tc>
      </w:tr>
    </w:tbl>
    <w:bookmarkEnd w:id="2"/>
    <w:bookmarkEnd w:id="3"/>
    <w:bookmarkEnd w:id="4"/>
    <w:p w14:paraId="2A7D54D3" w14:textId="77777777" w:rsidR="00E66558" w:rsidRPr="00C367C8" w:rsidRDefault="009D71E8">
      <w:pPr>
        <w:spacing w:before="480" w:line="240" w:lineRule="auto"/>
        <w:rPr>
          <w:b/>
          <w:color w:val="000000" w:themeColor="text1"/>
          <w:sz w:val="32"/>
          <w:szCs w:val="32"/>
        </w:rPr>
      </w:pPr>
      <w:r w:rsidRPr="00C367C8">
        <w:rPr>
          <w:b/>
          <w:color w:val="000000" w:themeColor="text1"/>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212908">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25F22700" w:rsidR="00E66558" w:rsidRDefault="009D71E8">
            <w:pPr>
              <w:pStyle w:val="TableRow"/>
            </w:pPr>
            <w:r w:rsidRPr="00AE16D3">
              <w:t>£</w:t>
            </w:r>
            <w:r w:rsidR="00F557A7">
              <w:t>15585</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B" w14:textId="4B72AD3A" w:rsidR="00E66558" w:rsidRDefault="009D71E8">
            <w:pPr>
              <w:pStyle w:val="TableRow"/>
            </w:pPr>
            <w:r>
              <w:t>£</w:t>
            </w:r>
            <w:r w:rsidR="00F557A7">
              <w:t>4060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416F33FC" w:rsidR="00E66558" w:rsidRDefault="009D71E8">
            <w:pPr>
              <w:pStyle w:val="TableRow"/>
            </w:pPr>
            <w:r>
              <w:t>£</w:t>
            </w:r>
            <w:r w:rsidR="00E75C45">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19BEF7C8" w:rsidR="00E66558" w:rsidRDefault="009D71E8">
            <w:pPr>
              <w:pStyle w:val="TableRow"/>
            </w:pPr>
            <w:r>
              <w:t>£</w:t>
            </w:r>
            <w:r w:rsidR="00F557A7">
              <w:t>19645</w:t>
            </w:r>
          </w:p>
        </w:tc>
      </w:tr>
    </w:tbl>
    <w:p w14:paraId="2A7D54E4" w14:textId="77777777" w:rsidR="00E66558" w:rsidRPr="00212908" w:rsidRDefault="009D71E8">
      <w:pPr>
        <w:pStyle w:val="Heading1"/>
        <w:rPr>
          <w:b w:val="0"/>
          <w:color w:val="auto"/>
        </w:rPr>
      </w:pPr>
      <w:r w:rsidRPr="00212908">
        <w:rPr>
          <w:b w:val="0"/>
          <w:color w:val="auto"/>
        </w:rPr>
        <w:lastRenderedPageBreak/>
        <w:t>Part A: Pupil premium strategy plan</w:t>
      </w:r>
    </w:p>
    <w:p w14:paraId="2A7D54E5" w14:textId="008AE31C" w:rsidR="00E66558" w:rsidRPr="00212908" w:rsidRDefault="009D71E8">
      <w:pPr>
        <w:pStyle w:val="Heading2"/>
        <w:rPr>
          <w:b w:val="0"/>
          <w:color w:val="auto"/>
        </w:rPr>
      </w:pPr>
      <w:bookmarkStart w:id="14" w:name="_Toc357771640"/>
      <w:bookmarkStart w:id="15" w:name="_Toc346793418"/>
      <w:r w:rsidRPr="00212908">
        <w:rPr>
          <w:b w:val="0"/>
          <w:color w:val="auto"/>
        </w:rPr>
        <w:t>Statement of intent</w:t>
      </w:r>
    </w:p>
    <w:p w14:paraId="436BFAB0" w14:textId="2270F00D" w:rsidR="00C367C8" w:rsidRDefault="00C367C8" w:rsidP="00C367C8">
      <w:pPr>
        <w:spacing w:after="0" w:line="240" w:lineRule="auto"/>
        <w:textAlignment w:val="baseline"/>
        <w:rPr>
          <w:rFonts w:cs="Arial"/>
          <w:color w:val="auto"/>
        </w:rPr>
      </w:pPr>
      <w:r w:rsidRPr="005316DF">
        <w:rPr>
          <w:rFonts w:cs="Arial"/>
          <w:color w:val="auto"/>
          <w:lang w:val="en-US"/>
        </w:rPr>
        <w:t>We have adopted a tiered approach towards the pupil premium spending in 20</w:t>
      </w:r>
      <w:r w:rsidR="00B70D99">
        <w:rPr>
          <w:rFonts w:cs="Arial"/>
          <w:color w:val="auto"/>
          <w:lang w:val="en-US"/>
        </w:rPr>
        <w:t xml:space="preserve">22/23 </w:t>
      </w:r>
      <w:r w:rsidRPr="005316DF">
        <w:rPr>
          <w:rFonts w:cs="Arial"/>
          <w:color w:val="auto"/>
          <w:lang w:val="en-US"/>
        </w:rPr>
        <w:t>and have focused on ensuring that each pupil receives effective quality first teaching through improved professional development for teaching staff and recruitment of additional inclusion staff to support teaching and learning in the classroom.  </w:t>
      </w:r>
      <w:r w:rsidRPr="005316DF">
        <w:rPr>
          <w:rFonts w:cs="Arial"/>
          <w:color w:val="auto"/>
        </w:rPr>
        <w:t> </w:t>
      </w:r>
    </w:p>
    <w:p w14:paraId="207D1106" w14:textId="77777777" w:rsidR="00C367C8" w:rsidRPr="005316DF" w:rsidRDefault="00C367C8" w:rsidP="00C367C8">
      <w:pPr>
        <w:spacing w:after="0" w:line="240" w:lineRule="auto"/>
        <w:textAlignment w:val="baseline"/>
        <w:rPr>
          <w:rFonts w:ascii="Segoe UI" w:hAnsi="Segoe UI" w:cs="Segoe UI"/>
          <w:color w:val="auto"/>
          <w:sz w:val="18"/>
          <w:szCs w:val="18"/>
        </w:rPr>
      </w:pPr>
    </w:p>
    <w:p w14:paraId="7902D9E9" w14:textId="77777777" w:rsidR="00C367C8" w:rsidRDefault="00C367C8" w:rsidP="00C367C8">
      <w:pPr>
        <w:spacing w:after="0" w:line="240" w:lineRule="auto"/>
        <w:textAlignment w:val="baseline"/>
        <w:rPr>
          <w:rFonts w:cs="Arial"/>
          <w:color w:val="auto"/>
        </w:rPr>
      </w:pPr>
      <w:r w:rsidRPr="005316DF">
        <w:rPr>
          <w:rFonts w:cs="Arial"/>
          <w:color w:val="auto"/>
          <w:lang w:val="en-US"/>
        </w:rPr>
        <w:t>Alongside this, funding will also be used to support the barriers that are commonly linked with pupils who are eligible for pupil premium including:</w:t>
      </w:r>
      <w:r w:rsidRPr="005316DF">
        <w:rPr>
          <w:rFonts w:cs="Arial"/>
          <w:color w:val="auto"/>
        </w:rPr>
        <w:t> </w:t>
      </w:r>
    </w:p>
    <w:p w14:paraId="7D6EAB77" w14:textId="77777777" w:rsidR="00C367C8" w:rsidRPr="005316DF" w:rsidRDefault="00C367C8" w:rsidP="00C367C8">
      <w:pPr>
        <w:spacing w:after="0" w:line="240" w:lineRule="auto"/>
        <w:textAlignment w:val="baseline"/>
        <w:rPr>
          <w:rFonts w:ascii="Segoe UI" w:hAnsi="Segoe UI" w:cs="Segoe UI"/>
          <w:color w:val="auto"/>
          <w:sz w:val="18"/>
          <w:szCs w:val="18"/>
        </w:rPr>
      </w:pPr>
    </w:p>
    <w:p w14:paraId="19B4DCC2" w14:textId="77777777" w:rsidR="00C367C8" w:rsidRPr="005316DF" w:rsidRDefault="00C367C8" w:rsidP="00C367C8">
      <w:pPr>
        <w:numPr>
          <w:ilvl w:val="0"/>
          <w:numId w:val="14"/>
        </w:numPr>
        <w:suppressAutoHyphens w:val="0"/>
        <w:autoSpaceDN/>
        <w:spacing w:after="0" w:line="240" w:lineRule="auto"/>
        <w:ind w:left="360" w:firstLine="0"/>
        <w:textAlignment w:val="baseline"/>
        <w:rPr>
          <w:rFonts w:cs="Arial"/>
          <w:color w:val="auto"/>
        </w:rPr>
      </w:pPr>
      <w:r w:rsidRPr="005316DF">
        <w:rPr>
          <w:rFonts w:cs="Arial"/>
          <w:color w:val="auto"/>
          <w:lang w:val="en-US"/>
        </w:rPr>
        <w:t>Attendance </w:t>
      </w:r>
      <w:r w:rsidRPr="005316DF">
        <w:rPr>
          <w:rFonts w:cs="Arial"/>
          <w:color w:val="auto"/>
        </w:rPr>
        <w:t> </w:t>
      </w:r>
    </w:p>
    <w:p w14:paraId="4A85C0F0" w14:textId="77777777" w:rsidR="00C367C8" w:rsidRPr="005316DF" w:rsidRDefault="00C367C8" w:rsidP="00C367C8">
      <w:pPr>
        <w:numPr>
          <w:ilvl w:val="0"/>
          <w:numId w:val="14"/>
        </w:numPr>
        <w:suppressAutoHyphens w:val="0"/>
        <w:autoSpaceDN/>
        <w:spacing w:after="0" w:line="240" w:lineRule="auto"/>
        <w:ind w:left="360" w:firstLine="0"/>
        <w:textAlignment w:val="baseline"/>
        <w:rPr>
          <w:rFonts w:cs="Arial"/>
          <w:color w:val="auto"/>
        </w:rPr>
      </w:pPr>
      <w:r w:rsidRPr="005316DF">
        <w:rPr>
          <w:rFonts w:cs="Arial"/>
          <w:color w:val="auto"/>
          <w:lang w:val="en-US"/>
        </w:rPr>
        <w:t>Wellbeing </w:t>
      </w:r>
      <w:r w:rsidRPr="005316DF">
        <w:rPr>
          <w:rFonts w:cs="Arial"/>
          <w:color w:val="auto"/>
        </w:rPr>
        <w:t> </w:t>
      </w:r>
    </w:p>
    <w:p w14:paraId="08479573" w14:textId="77777777" w:rsidR="00C367C8" w:rsidRPr="005316DF" w:rsidRDefault="00C367C8" w:rsidP="00C367C8">
      <w:pPr>
        <w:numPr>
          <w:ilvl w:val="0"/>
          <w:numId w:val="14"/>
        </w:numPr>
        <w:suppressAutoHyphens w:val="0"/>
        <w:autoSpaceDN/>
        <w:spacing w:after="0" w:line="240" w:lineRule="auto"/>
        <w:ind w:left="360" w:firstLine="0"/>
        <w:textAlignment w:val="baseline"/>
        <w:rPr>
          <w:rFonts w:cs="Arial"/>
          <w:color w:val="auto"/>
        </w:rPr>
      </w:pPr>
      <w:r w:rsidRPr="005316DF">
        <w:rPr>
          <w:rFonts w:cs="Arial"/>
          <w:color w:val="auto"/>
          <w:lang w:val="en-US"/>
        </w:rPr>
        <w:t>Confidence </w:t>
      </w:r>
      <w:r w:rsidRPr="005316DF">
        <w:rPr>
          <w:rFonts w:cs="Arial"/>
          <w:color w:val="auto"/>
        </w:rPr>
        <w:t> </w:t>
      </w:r>
    </w:p>
    <w:p w14:paraId="3D3D2396" w14:textId="77777777" w:rsidR="00C367C8" w:rsidRPr="005316DF" w:rsidRDefault="00C367C8" w:rsidP="00C367C8">
      <w:pPr>
        <w:numPr>
          <w:ilvl w:val="0"/>
          <w:numId w:val="14"/>
        </w:numPr>
        <w:suppressAutoHyphens w:val="0"/>
        <w:autoSpaceDN/>
        <w:spacing w:after="0" w:line="240" w:lineRule="auto"/>
        <w:ind w:left="360" w:firstLine="0"/>
        <w:textAlignment w:val="baseline"/>
        <w:rPr>
          <w:rFonts w:cs="Arial"/>
          <w:color w:val="auto"/>
        </w:rPr>
      </w:pPr>
      <w:r w:rsidRPr="005316DF">
        <w:rPr>
          <w:rFonts w:cs="Arial"/>
          <w:color w:val="auto"/>
          <w:lang w:val="en-US"/>
        </w:rPr>
        <w:t>Engagement </w:t>
      </w:r>
      <w:r w:rsidRPr="005316DF">
        <w:rPr>
          <w:rFonts w:cs="Arial"/>
          <w:color w:val="auto"/>
        </w:rPr>
        <w:t> </w:t>
      </w:r>
    </w:p>
    <w:p w14:paraId="6D8AFDEB" w14:textId="77777777" w:rsidR="00C367C8" w:rsidRDefault="00C367C8" w:rsidP="00C367C8">
      <w:pPr>
        <w:numPr>
          <w:ilvl w:val="0"/>
          <w:numId w:val="14"/>
        </w:numPr>
        <w:suppressAutoHyphens w:val="0"/>
        <w:autoSpaceDN/>
        <w:spacing w:after="0" w:line="240" w:lineRule="auto"/>
        <w:ind w:left="360" w:firstLine="0"/>
        <w:textAlignment w:val="baseline"/>
        <w:rPr>
          <w:rFonts w:cs="Arial"/>
          <w:color w:val="auto"/>
        </w:rPr>
      </w:pPr>
      <w:r w:rsidRPr="005316DF">
        <w:rPr>
          <w:rFonts w:cs="Arial"/>
          <w:color w:val="auto"/>
          <w:lang w:val="en-US"/>
        </w:rPr>
        <w:t>SEND </w:t>
      </w:r>
      <w:r w:rsidRPr="005316DF">
        <w:rPr>
          <w:rFonts w:cs="Arial"/>
          <w:color w:val="auto"/>
        </w:rPr>
        <w:t> </w:t>
      </w:r>
    </w:p>
    <w:p w14:paraId="083C04B4" w14:textId="77777777" w:rsidR="00C367C8" w:rsidRPr="005316DF" w:rsidRDefault="00C367C8" w:rsidP="00C367C8">
      <w:pPr>
        <w:spacing w:after="0" w:line="240" w:lineRule="auto"/>
        <w:ind w:left="360"/>
        <w:textAlignment w:val="baseline"/>
        <w:rPr>
          <w:rFonts w:cs="Arial"/>
          <w:color w:val="auto"/>
        </w:rPr>
      </w:pPr>
    </w:p>
    <w:p w14:paraId="018D2943" w14:textId="63BD9E92" w:rsidR="00C367C8" w:rsidRDefault="00C367C8" w:rsidP="00C367C8">
      <w:pPr>
        <w:spacing w:after="0" w:line="240" w:lineRule="auto"/>
        <w:ind w:left="-15"/>
        <w:textAlignment w:val="baseline"/>
        <w:rPr>
          <w:rFonts w:cs="Arial"/>
          <w:color w:val="auto"/>
        </w:rPr>
      </w:pPr>
      <w:r w:rsidRPr="005316DF">
        <w:rPr>
          <w:rFonts w:cs="Arial"/>
          <w:color w:val="auto"/>
          <w:lang w:val="en-US"/>
        </w:rPr>
        <w:t xml:space="preserve">At Engage Academy we have a high intake of pupils whose attendance is below the national average. Through various supportive </w:t>
      </w:r>
      <w:proofErr w:type="spellStart"/>
      <w:r w:rsidRPr="005316DF">
        <w:rPr>
          <w:rFonts w:cs="Arial"/>
          <w:color w:val="auto"/>
          <w:lang w:val="en-US"/>
        </w:rPr>
        <w:t>programmes</w:t>
      </w:r>
      <w:proofErr w:type="spellEnd"/>
      <w:r w:rsidRPr="005316DF">
        <w:rPr>
          <w:rFonts w:cs="Arial"/>
          <w:color w:val="auto"/>
          <w:lang w:val="en-US"/>
        </w:rPr>
        <w:t xml:space="preserve"> we work hard to improve the attendance of all pupils. </w:t>
      </w:r>
      <w:r w:rsidR="00E06E35">
        <w:rPr>
          <w:rFonts w:cs="Arial"/>
          <w:color w:val="auto"/>
          <w:lang w:val="en-US"/>
        </w:rPr>
        <w:t>Our</w:t>
      </w:r>
      <w:r w:rsidRPr="005316DF">
        <w:rPr>
          <w:rFonts w:cs="Arial"/>
          <w:color w:val="auto"/>
          <w:lang w:val="en-US"/>
        </w:rPr>
        <w:t xml:space="preserve"> attendance </w:t>
      </w:r>
      <w:r>
        <w:rPr>
          <w:rFonts w:cs="Arial"/>
          <w:color w:val="auto"/>
          <w:lang w:val="en-US"/>
        </w:rPr>
        <w:t>for 202</w:t>
      </w:r>
      <w:r w:rsidR="00241DF1">
        <w:rPr>
          <w:rFonts w:cs="Arial"/>
          <w:color w:val="auto"/>
          <w:lang w:val="en-US"/>
        </w:rPr>
        <w:t>2</w:t>
      </w:r>
      <w:r>
        <w:rPr>
          <w:rFonts w:cs="Arial"/>
          <w:color w:val="auto"/>
          <w:lang w:val="en-US"/>
        </w:rPr>
        <w:t>-2</w:t>
      </w:r>
      <w:r w:rsidR="00241DF1">
        <w:rPr>
          <w:rFonts w:cs="Arial"/>
          <w:color w:val="auto"/>
          <w:lang w:val="en-US"/>
        </w:rPr>
        <w:t>3</w:t>
      </w:r>
      <w:r>
        <w:rPr>
          <w:rFonts w:cs="Arial"/>
          <w:color w:val="auto"/>
          <w:lang w:val="en-US"/>
        </w:rPr>
        <w:t xml:space="preserve"> was</w:t>
      </w:r>
      <w:r w:rsidRPr="005316DF">
        <w:rPr>
          <w:rFonts w:cs="Arial"/>
          <w:color w:val="auto"/>
          <w:lang w:val="en-US"/>
        </w:rPr>
        <w:t xml:space="preserve"> </w:t>
      </w:r>
      <w:r w:rsidRPr="00EF55B6">
        <w:rPr>
          <w:rFonts w:cs="Arial"/>
          <w:color w:val="auto"/>
          <w:lang w:val="en-US"/>
        </w:rPr>
        <w:t>8</w:t>
      </w:r>
      <w:r w:rsidR="00877D8B" w:rsidRPr="00EF55B6">
        <w:rPr>
          <w:rFonts w:cs="Arial"/>
          <w:color w:val="auto"/>
          <w:lang w:val="en-US"/>
        </w:rPr>
        <w:t>4.5</w:t>
      </w:r>
      <w:r w:rsidRPr="00EF55B6">
        <w:rPr>
          <w:rFonts w:cs="Arial"/>
          <w:color w:val="auto"/>
          <w:lang w:val="en-US"/>
        </w:rPr>
        <w:t xml:space="preserve">%, </w:t>
      </w:r>
      <w:r w:rsidR="00644914" w:rsidRPr="00EF55B6">
        <w:rPr>
          <w:rFonts w:cs="Arial"/>
          <w:color w:val="auto"/>
          <w:lang w:val="en-US"/>
        </w:rPr>
        <w:t>18.2</w:t>
      </w:r>
      <w:r w:rsidRPr="00EF55B6">
        <w:rPr>
          <w:rFonts w:cs="Arial"/>
          <w:color w:val="auto"/>
          <w:lang w:val="en-US"/>
        </w:rPr>
        <w:t>%</w:t>
      </w:r>
      <w:r w:rsidRPr="005316DF">
        <w:rPr>
          <w:rFonts w:cs="Arial"/>
          <w:color w:val="auto"/>
          <w:lang w:val="en-US"/>
        </w:rPr>
        <w:t xml:space="preserve"> above the national average of Pupil Referral Units of 6</w:t>
      </w:r>
      <w:r>
        <w:rPr>
          <w:rFonts w:cs="Arial"/>
          <w:color w:val="auto"/>
          <w:lang w:val="en-US"/>
        </w:rPr>
        <w:t>6.</w:t>
      </w:r>
      <w:r w:rsidR="00644914">
        <w:rPr>
          <w:rFonts w:cs="Arial"/>
          <w:color w:val="auto"/>
          <w:lang w:val="en-US"/>
        </w:rPr>
        <w:t>3</w:t>
      </w:r>
      <w:r w:rsidRPr="005316DF">
        <w:rPr>
          <w:rFonts w:cs="Arial"/>
          <w:color w:val="auto"/>
          <w:lang w:val="en-US"/>
        </w:rPr>
        <w:t>% (DfE, 20</w:t>
      </w:r>
      <w:r w:rsidR="0070771A">
        <w:rPr>
          <w:rFonts w:cs="Arial"/>
          <w:color w:val="auto"/>
          <w:lang w:val="en-US"/>
        </w:rPr>
        <w:t>20-21</w:t>
      </w:r>
      <w:r w:rsidRPr="005316DF">
        <w:rPr>
          <w:rFonts w:cs="Arial"/>
          <w:color w:val="auto"/>
          <w:lang w:val="en-US"/>
        </w:rPr>
        <w:t>). </w:t>
      </w:r>
      <w:r w:rsidRPr="005316DF">
        <w:rPr>
          <w:rFonts w:cs="Arial"/>
          <w:color w:val="auto"/>
        </w:rPr>
        <w:t> </w:t>
      </w:r>
    </w:p>
    <w:p w14:paraId="1F74A7D7" w14:textId="77777777" w:rsidR="00C367C8" w:rsidRPr="005316DF" w:rsidRDefault="00C367C8" w:rsidP="00C367C8">
      <w:pPr>
        <w:spacing w:after="0" w:line="240" w:lineRule="auto"/>
        <w:ind w:left="-15"/>
        <w:textAlignment w:val="baseline"/>
        <w:rPr>
          <w:rFonts w:ascii="Segoe UI" w:hAnsi="Segoe UI" w:cs="Segoe UI"/>
          <w:color w:val="auto"/>
          <w:sz w:val="18"/>
          <w:szCs w:val="18"/>
        </w:rPr>
      </w:pPr>
    </w:p>
    <w:p w14:paraId="595794EF" w14:textId="77777777" w:rsidR="00C367C8" w:rsidRDefault="00C367C8" w:rsidP="00C367C8">
      <w:pPr>
        <w:spacing w:after="0" w:line="240" w:lineRule="auto"/>
        <w:ind w:left="-15"/>
        <w:textAlignment w:val="baseline"/>
        <w:rPr>
          <w:rFonts w:cs="Arial"/>
          <w:color w:val="auto"/>
        </w:rPr>
      </w:pPr>
      <w:r w:rsidRPr="005316DF">
        <w:rPr>
          <w:rFonts w:cs="Arial"/>
          <w:color w:val="auto"/>
          <w:lang w:val="en-US"/>
        </w:rPr>
        <w:t xml:space="preserve">Wellbeing, confidence and engagement are factors all pupils struggle with upon entry. Through </w:t>
      </w:r>
      <w:proofErr w:type="gramStart"/>
      <w:r w:rsidRPr="005316DF">
        <w:rPr>
          <w:rFonts w:cs="Arial"/>
          <w:color w:val="auto"/>
          <w:lang w:val="en-US"/>
        </w:rPr>
        <w:t>a number of</w:t>
      </w:r>
      <w:proofErr w:type="gramEnd"/>
      <w:r w:rsidRPr="005316DF">
        <w:rPr>
          <w:rFonts w:cs="Arial"/>
          <w:color w:val="auto"/>
          <w:lang w:val="en-US"/>
        </w:rPr>
        <w:t xml:space="preserve"> </w:t>
      </w:r>
      <w:proofErr w:type="spellStart"/>
      <w:r w:rsidRPr="005316DF">
        <w:rPr>
          <w:rFonts w:cs="Arial"/>
          <w:color w:val="auto"/>
          <w:lang w:val="en-US"/>
        </w:rPr>
        <w:t>programmes</w:t>
      </w:r>
      <w:proofErr w:type="spellEnd"/>
      <w:r w:rsidRPr="005316DF">
        <w:rPr>
          <w:rFonts w:cs="Arial"/>
          <w:color w:val="auto"/>
          <w:lang w:val="en-US"/>
        </w:rPr>
        <w:t xml:space="preserve"> that target well-being (some of which are listed in the Pupil Premium Report below) we work daily to build their confidence, resilience and engagement in their education.  </w:t>
      </w:r>
      <w:r w:rsidRPr="005316DF">
        <w:rPr>
          <w:rFonts w:cs="Arial"/>
          <w:color w:val="auto"/>
        </w:rPr>
        <w:t> </w:t>
      </w:r>
    </w:p>
    <w:p w14:paraId="0FF97227" w14:textId="77777777" w:rsidR="00C367C8" w:rsidRPr="005316DF" w:rsidRDefault="00C367C8" w:rsidP="00C367C8">
      <w:pPr>
        <w:spacing w:after="0" w:line="240" w:lineRule="auto"/>
        <w:ind w:left="-15"/>
        <w:textAlignment w:val="baseline"/>
        <w:rPr>
          <w:rFonts w:ascii="Segoe UI" w:hAnsi="Segoe UI" w:cs="Segoe UI"/>
          <w:color w:val="auto"/>
          <w:sz w:val="18"/>
          <w:szCs w:val="18"/>
        </w:rPr>
      </w:pPr>
    </w:p>
    <w:p w14:paraId="6F9CEB60" w14:textId="77777777" w:rsidR="00C367C8" w:rsidRPr="005316DF" w:rsidRDefault="00C367C8" w:rsidP="00C367C8">
      <w:pPr>
        <w:spacing w:after="0" w:line="240" w:lineRule="auto"/>
        <w:ind w:left="-15"/>
        <w:textAlignment w:val="baseline"/>
        <w:rPr>
          <w:rFonts w:ascii="Segoe UI" w:hAnsi="Segoe UI" w:cs="Segoe UI"/>
          <w:color w:val="auto"/>
          <w:sz w:val="18"/>
          <w:szCs w:val="18"/>
        </w:rPr>
      </w:pPr>
      <w:r w:rsidRPr="005316DF">
        <w:rPr>
          <w:rFonts w:cs="Arial"/>
          <w:color w:val="auto"/>
          <w:lang w:val="en-US"/>
        </w:rPr>
        <w:t>We have a high intake of pupils who have a range of special educational needs. Where appropriate, specialist interventions to assess and address those needs are implemented through a documented cycle of Plan-Do-Review as per the SEND Code of Practice (2015).  </w:t>
      </w:r>
      <w:r w:rsidRPr="005316DF">
        <w:rPr>
          <w:rFonts w:cs="Arial"/>
          <w:color w:val="auto"/>
        </w:rPr>
        <w:t> </w:t>
      </w:r>
    </w:p>
    <w:p w14:paraId="6B374C03" w14:textId="77777777" w:rsidR="00C367C8" w:rsidRPr="00C367C8" w:rsidRDefault="00C367C8" w:rsidP="00C367C8"/>
    <w:p w14:paraId="2A7D54EB" w14:textId="77777777" w:rsidR="00E66558" w:rsidRPr="00212908" w:rsidRDefault="009D71E8" w:rsidP="00212908">
      <w:pPr>
        <w:pStyle w:val="Heading2"/>
        <w:shd w:val="clear" w:color="auto" w:fill="FFFFFF" w:themeFill="background1"/>
        <w:spacing w:before="600"/>
        <w:rPr>
          <w:color w:val="auto"/>
        </w:rPr>
      </w:pPr>
      <w:r w:rsidRPr="00212908">
        <w:rPr>
          <w:color w:val="auto"/>
        </w:rP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212908">
        <w:tc>
          <w:tcPr>
            <w:tcW w:w="1477"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4672F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4672F8" w:rsidRDefault="004672F8" w:rsidP="004672F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570C2BAA" w:rsidR="004672F8" w:rsidRDefault="004672F8" w:rsidP="004672F8">
            <w:pPr>
              <w:pStyle w:val="TableRowCentered"/>
              <w:ind w:left="0"/>
              <w:jc w:val="left"/>
            </w:pPr>
            <w:r w:rsidRPr="00E27862">
              <w:rPr>
                <w:rFonts w:cs="Arial"/>
                <w:iCs/>
                <w:color w:val="auto"/>
                <w:lang w:val="en-US"/>
              </w:rPr>
              <w:t>Assessments, observations, and discussions with pupils indicate underdeveloped ora</w:t>
            </w:r>
            <w:r>
              <w:rPr>
                <w:rFonts w:cs="Arial"/>
                <w:iCs/>
                <w:color w:val="auto"/>
                <w:lang w:val="en-US"/>
              </w:rPr>
              <w:t xml:space="preserve">cy </w:t>
            </w:r>
            <w:r w:rsidRPr="00E27862">
              <w:rPr>
                <w:rFonts w:cs="Arial"/>
                <w:iCs/>
                <w:color w:val="auto"/>
                <w:lang w:val="en-US"/>
              </w:rPr>
              <w:t>skills and vocabulary gaps</w:t>
            </w:r>
            <w:r>
              <w:rPr>
                <w:rFonts w:cs="Arial"/>
                <w:iCs/>
                <w:color w:val="auto"/>
                <w:lang w:val="en-US"/>
              </w:rPr>
              <w:t xml:space="preserve">. </w:t>
            </w:r>
          </w:p>
        </w:tc>
      </w:tr>
      <w:tr w:rsidR="004672F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4672F8" w:rsidRDefault="004672F8" w:rsidP="004672F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B3C74" w14:textId="3F60E864" w:rsidR="004672F8" w:rsidRPr="00E27862" w:rsidRDefault="004672F8" w:rsidP="004672F8">
            <w:pPr>
              <w:suppressAutoHyphens w:val="0"/>
              <w:autoSpaceDN/>
              <w:spacing w:before="60" w:line="240" w:lineRule="auto"/>
              <w:ind w:right="57"/>
              <w:rPr>
                <w:rFonts w:cs="Arial"/>
                <w:iCs/>
                <w:color w:val="auto"/>
                <w:lang w:val="en-US"/>
              </w:rPr>
            </w:pPr>
            <w:r w:rsidRPr="00E27862">
              <w:rPr>
                <w:rFonts w:cs="Arial"/>
                <w:iCs/>
                <w:color w:val="auto"/>
                <w:lang w:val="en-US"/>
              </w:rPr>
              <w:t xml:space="preserve">Our assessments (including </w:t>
            </w:r>
            <w:r>
              <w:rPr>
                <w:rFonts w:cs="Arial"/>
                <w:iCs/>
                <w:color w:val="auto"/>
                <w:lang w:val="en-US"/>
              </w:rPr>
              <w:t>Boxall profile</w:t>
            </w:r>
            <w:r w:rsidRPr="00E27862">
              <w:rPr>
                <w:rFonts w:cs="Arial"/>
                <w:iCs/>
                <w:color w:val="auto"/>
                <w:lang w:val="en-US"/>
              </w:rPr>
              <w:t>), observations and discussions with pupils and families have</w:t>
            </w:r>
            <w:r>
              <w:rPr>
                <w:rFonts w:cs="Arial"/>
                <w:iCs/>
                <w:color w:val="auto"/>
                <w:lang w:val="en-US"/>
              </w:rPr>
              <w:t xml:space="preserve"> further</w:t>
            </w:r>
            <w:r w:rsidRPr="00E27862">
              <w:rPr>
                <w:rFonts w:cs="Arial"/>
                <w:iCs/>
                <w:color w:val="auto"/>
                <w:lang w:val="en-US"/>
              </w:rPr>
              <w:t xml:space="preserve"> identified social and emotional issues for many pupils</w:t>
            </w:r>
            <w:r>
              <w:rPr>
                <w:rFonts w:cs="Arial"/>
                <w:iCs/>
                <w:color w:val="auto"/>
                <w:lang w:val="en-US"/>
              </w:rPr>
              <w:t xml:space="preserve"> </w:t>
            </w:r>
            <w:r w:rsidRPr="00E27862">
              <w:rPr>
                <w:rFonts w:cs="Arial"/>
                <w:iCs/>
                <w:color w:val="auto"/>
                <w:lang w:val="en-US"/>
              </w:rPr>
              <w:t xml:space="preserve">and a lack of enrichment opportunities </w:t>
            </w:r>
            <w:r>
              <w:rPr>
                <w:rFonts w:cs="Arial"/>
                <w:iCs/>
                <w:color w:val="auto"/>
                <w:lang w:val="en-US"/>
              </w:rPr>
              <w:t>throughout Covid.</w:t>
            </w:r>
            <w:r w:rsidRPr="00E27862">
              <w:rPr>
                <w:rFonts w:cs="Arial"/>
                <w:iCs/>
                <w:color w:val="auto"/>
                <w:lang w:val="en-US"/>
              </w:rPr>
              <w:t xml:space="preserve"> </w:t>
            </w:r>
          </w:p>
          <w:p w14:paraId="2A7D54F4" w14:textId="77777777" w:rsidR="004672F8" w:rsidRDefault="004672F8" w:rsidP="004672F8">
            <w:pPr>
              <w:pStyle w:val="TableRowCentered"/>
              <w:jc w:val="left"/>
              <w:rPr>
                <w:sz w:val="22"/>
                <w:szCs w:val="22"/>
              </w:rPr>
            </w:pPr>
          </w:p>
        </w:tc>
      </w:tr>
      <w:tr w:rsidR="004672F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4672F8" w:rsidRDefault="004672F8" w:rsidP="004672F8">
            <w:pPr>
              <w:pStyle w:val="TableRow"/>
              <w:rPr>
                <w:sz w:val="22"/>
                <w:szCs w:val="22"/>
              </w:rPr>
            </w:pPr>
            <w:r>
              <w:rPr>
                <w:sz w:val="22"/>
                <w:szCs w:val="22"/>
              </w:rPr>
              <w:lastRenderedPageBreak/>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70D517FF" w:rsidR="004672F8" w:rsidRDefault="004672F8" w:rsidP="004672F8">
            <w:pPr>
              <w:pStyle w:val="TableRowCentered"/>
              <w:ind w:left="0"/>
              <w:jc w:val="left"/>
              <w:rPr>
                <w:sz w:val="22"/>
                <w:szCs w:val="22"/>
              </w:rPr>
            </w:pPr>
            <w:r w:rsidRPr="00E27862">
              <w:rPr>
                <w:color w:val="auto"/>
                <w:lang w:val="en-US"/>
              </w:rPr>
              <w:t xml:space="preserve">Assessments, observations, and discussions with pupils </w:t>
            </w:r>
            <w:r>
              <w:rPr>
                <w:color w:val="auto"/>
                <w:lang w:val="en-US"/>
              </w:rPr>
              <w:t>demonstrate difficult</w:t>
            </w:r>
            <w:r w:rsidR="00E04648">
              <w:rPr>
                <w:color w:val="auto"/>
                <w:lang w:val="en-US"/>
              </w:rPr>
              <w:t xml:space="preserve">ies in phonics, </w:t>
            </w:r>
            <w:proofErr w:type="spellStart"/>
            <w:r w:rsidR="00E04648">
              <w:rPr>
                <w:color w:val="auto"/>
                <w:lang w:val="en-US"/>
              </w:rPr>
              <w:t>maths</w:t>
            </w:r>
            <w:proofErr w:type="spellEnd"/>
            <w:r w:rsidR="00E04648">
              <w:rPr>
                <w:color w:val="auto"/>
                <w:lang w:val="en-US"/>
              </w:rPr>
              <w:t xml:space="preserve"> and writing with all pupils requiring intervention to prevent them falling further behind age related expectations.</w:t>
            </w:r>
          </w:p>
        </w:tc>
      </w:tr>
    </w:tbl>
    <w:p w14:paraId="2A7D54FF" w14:textId="77777777" w:rsidR="00E66558" w:rsidRPr="00212908" w:rsidRDefault="009D71E8">
      <w:pPr>
        <w:pStyle w:val="Heading2"/>
        <w:spacing w:before="600"/>
        <w:rPr>
          <w:color w:val="auto"/>
        </w:rPr>
      </w:pPr>
      <w:bookmarkStart w:id="16" w:name="_Toc443397160"/>
      <w:r w:rsidRPr="00212908">
        <w:rPr>
          <w:color w:val="auto"/>
        </w:rP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212908">
        <w:tc>
          <w:tcPr>
            <w:tcW w:w="4815"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4A6B14F6" w:rsidR="00E66558" w:rsidRDefault="00FC2F85">
            <w:pPr>
              <w:pStyle w:val="TableRow"/>
            </w:pPr>
            <w:r w:rsidRPr="00827B91">
              <w:rPr>
                <w:rFonts w:cs="Arial"/>
                <w:color w:val="auto"/>
              </w:rPr>
              <w:t>All pupils access a </w:t>
            </w:r>
            <w:r w:rsidR="003D2FB9" w:rsidRPr="00827B91">
              <w:rPr>
                <w:rFonts w:cs="Arial"/>
                <w:color w:val="auto"/>
              </w:rPr>
              <w:t>high-quality</w:t>
            </w:r>
            <w:r w:rsidRPr="00827B91">
              <w:rPr>
                <w:rFonts w:cs="Arial"/>
                <w:color w:val="auto"/>
              </w:rPr>
              <w:t> curriculum and effective quality first teaching.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CBBE1" w14:textId="71F88BBC" w:rsidR="00464F74" w:rsidRPr="00464F74" w:rsidRDefault="00464F74" w:rsidP="00F13F1E">
            <w:pPr>
              <w:spacing w:after="0" w:line="240" w:lineRule="auto"/>
              <w:textAlignment w:val="baseline"/>
              <w:rPr>
                <w:rFonts w:ascii="Times New Roman" w:hAnsi="Times New Roman"/>
                <w:color w:val="auto"/>
                <w:sz w:val="22"/>
                <w:szCs w:val="22"/>
              </w:rPr>
            </w:pPr>
            <w:r w:rsidRPr="00464F74">
              <w:rPr>
                <w:rFonts w:cs="Arial"/>
                <w:color w:val="auto"/>
                <w:sz w:val="22"/>
                <w:szCs w:val="22"/>
              </w:rPr>
              <w:t>All pupils have access to excellent quality first teaching from experienced teachers</w:t>
            </w:r>
            <w:r>
              <w:rPr>
                <w:rFonts w:cs="Arial"/>
                <w:color w:val="auto"/>
                <w:sz w:val="22"/>
                <w:szCs w:val="22"/>
              </w:rPr>
              <w:t xml:space="preserve"> within a personalised curriculum including extensive outdoor learning opportunities. </w:t>
            </w:r>
          </w:p>
          <w:p w14:paraId="47806A66" w14:textId="77777777" w:rsidR="00464F74" w:rsidRPr="00464F74" w:rsidRDefault="00464F74" w:rsidP="00F13F1E">
            <w:pPr>
              <w:spacing w:after="0" w:line="240" w:lineRule="auto"/>
              <w:textAlignment w:val="baseline"/>
              <w:rPr>
                <w:rFonts w:ascii="Times New Roman" w:hAnsi="Times New Roman"/>
                <w:color w:val="auto"/>
                <w:sz w:val="22"/>
                <w:szCs w:val="22"/>
              </w:rPr>
            </w:pPr>
            <w:r w:rsidRPr="00464F74">
              <w:rPr>
                <w:rFonts w:cs="Arial"/>
                <w:color w:val="auto"/>
                <w:sz w:val="22"/>
                <w:szCs w:val="22"/>
              </w:rPr>
              <w:t> </w:t>
            </w:r>
          </w:p>
          <w:p w14:paraId="2A7D5505" w14:textId="44A3FE45" w:rsidR="00E66558" w:rsidRPr="00F13F1E" w:rsidRDefault="00464F74" w:rsidP="00F13F1E">
            <w:pPr>
              <w:spacing w:after="0" w:line="240" w:lineRule="auto"/>
              <w:textAlignment w:val="baseline"/>
              <w:rPr>
                <w:rFonts w:ascii="Times New Roman" w:hAnsi="Times New Roman"/>
                <w:color w:val="auto"/>
                <w:sz w:val="22"/>
                <w:szCs w:val="22"/>
              </w:rPr>
            </w:pPr>
            <w:r w:rsidRPr="00464F74">
              <w:rPr>
                <w:rFonts w:cs="Arial"/>
                <w:color w:val="auto"/>
                <w:sz w:val="22"/>
                <w:szCs w:val="22"/>
              </w:rPr>
              <w:t>All staff are trained and confident in supporting pupils in learning across the curriculum.  </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06E1D9FD" w:rsidR="00E66558" w:rsidRDefault="00FC2F85">
            <w:pPr>
              <w:pStyle w:val="TableRow"/>
              <w:rPr>
                <w:sz w:val="22"/>
                <w:szCs w:val="22"/>
              </w:rPr>
            </w:pPr>
            <w:r w:rsidRPr="00827B91">
              <w:rPr>
                <w:rFonts w:cs="Arial"/>
                <w:color w:val="auto"/>
              </w:rPr>
              <w:t>All pupils have access to support for both their academic and SEMH interventions.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8" w14:textId="425476A5" w:rsidR="00E66558" w:rsidRDefault="00464F74">
            <w:pPr>
              <w:pStyle w:val="TableRowCentered"/>
              <w:jc w:val="left"/>
              <w:rPr>
                <w:sz w:val="22"/>
                <w:szCs w:val="22"/>
              </w:rPr>
            </w:pPr>
            <w:r>
              <w:rPr>
                <w:sz w:val="22"/>
                <w:szCs w:val="22"/>
              </w:rPr>
              <w:t xml:space="preserve">Improved outcomes in reading, writing, maths, oracy and Boxall.  </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677E4195" w:rsidR="00E66558" w:rsidRDefault="00FC2F85">
            <w:pPr>
              <w:pStyle w:val="TableRow"/>
              <w:rPr>
                <w:sz w:val="22"/>
                <w:szCs w:val="22"/>
              </w:rPr>
            </w:pPr>
            <w:r w:rsidRPr="00827B91">
              <w:rPr>
                <w:rFonts w:cs="Arial"/>
                <w:color w:val="auto"/>
              </w:rPr>
              <w:t>Engagement of parents with their child and their learning.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B" w14:textId="5EAEB0C5" w:rsidR="00E66558" w:rsidRDefault="00F13F1E">
            <w:pPr>
              <w:pStyle w:val="TableRowCentered"/>
              <w:jc w:val="left"/>
              <w:rPr>
                <w:sz w:val="22"/>
                <w:szCs w:val="22"/>
              </w:rPr>
            </w:pPr>
            <w:r>
              <w:rPr>
                <w:sz w:val="22"/>
                <w:szCs w:val="22"/>
              </w:rPr>
              <w:t xml:space="preserve">Improved relationships with parents and carers resulting in higher levels of engagement in events and home learning to support pupils’ SEMH and academic progress.  </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512DECDC" w:rsidR="00E66558" w:rsidRPr="003D2FB9" w:rsidRDefault="003D2FB9">
            <w:pPr>
              <w:pStyle w:val="TableRow"/>
            </w:pPr>
            <w:r w:rsidRPr="003D2FB9">
              <w:t xml:space="preserve">Improved </w:t>
            </w:r>
            <w:r>
              <w:t>oracy</w:t>
            </w:r>
            <w:r w:rsidRPr="003D2FB9">
              <w:t xml:space="preserve"> skills</w:t>
            </w:r>
            <w:r>
              <w:t xml:space="preserve"> and vocabulary </w:t>
            </w:r>
            <w:r w:rsidR="002235D7">
              <w:t>in all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E" w14:textId="3818B53E" w:rsidR="00E66558" w:rsidRPr="002235D7" w:rsidRDefault="002235D7">
            <w:pPr>
              <w:pStyle w:val="TableRowCentered"/>
              <w:jc w:val="left"/>
              <w:rPr>
                <w:sz w:val="22"/>
                <w:szCs w:val="22"/>
              </w:rPr>
            </w:pPr>
            <w:r w:rsidRPr="002235D7">
              <w:rPr>
                <w:sz w:val="22"/>
                <w:szCs w:val="22"/>
              </w:rPr>
              <w:t xml:space="preserve">Assessment using </w:t>
            </w:r>
            <w:r>
              <w:rPr>
                <w:sz w:val="22"/>
                <w:szCs w:val="22"/>
              </w:rPr>
              <w:t xml:space="preserve">the </w:t>
            </w:r>
            <w:r w:rsidRPr="002235D7">
              <w:rPr>
                <w:sz w:val="22"/>
                <w:szCs w:val="22"/>
              </w:rPr>
              <w:t xml:space="preserve">oracy progression maps indicate significantly improved oracy skills amongst all pupils. </w:t>
            </w:r>
            <w:r w:rsidRPr="002235D7">
              <w:rPr>
                <w:color w:val="auto"/>
                <w:sz w:val="22"/>
                <w:szCs w:val="22"/>
              </w:rPr>
              <w:t xml:space="preserve">This is evident when triangulated with other sources of evidence, including engagement in lessons, book scrutiny and ongoing formative assessment.  </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Pr="00212908" w:rsidRDefault="009D71E8">
      <w:pPr>
        <w:pStyle w:val="Heading2"/>
        <w:rPr>
          <w:color w:val="auto"/>
        </w:rPr>
      </w:pPr>
      <w:r w:rsidRPr="00212908">
        <w:rPr>
          <w:color w:val="auto"/>
        </w:rP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Pr="00212908" w:rsidRDefault="009D71E8">
      <w:pPr>
        <w:pStyle w:val="Heading3"/>
        <w:rPr>
          <w:color w:val="auto"/>
        </w:rPr>
      </w:pPr>
      <w:r w:rsidRPr="00212908">
        <w:rPr>
          <w:color w:val="auto"/>
        </w:rPr>
        <w:t>Teaching (for example, CPD, recruitment and retention)</w:t>
      </w:r>
    </w:p>
    <w:p w14:paraId="2A7D5515" w14:textId="57802D3C" w:rsidR="00E66558" w:rsidRDefault="009D71E8">
      <w:r>
        <w:t xml:space="preserve">Budgeted cost: £ </w:t>
      </w:r>
      <w:r w:rsidR="00732861">
        <w:rPr>
          <w:i/>
          <w:iCs/>
        </w:rPr>
        <w:t>6</w:t>
      </w:r>
      <w:r w:rsidR="001A777A">
        <w:rPr>
          <w:i/>
          <w:iCs/>
        </w:rPr>
        <w:t>000</w:t>
      </w:r>
    </w:p>
    <w:tbl>
      <w:tblPr>
        <w:tblW w:w="5000" w:type="pct"/>
        <w:tblCellMar>
          <w:left w:w="10" w:type="dxa"/>
          <w:right w:w="10" w:type="dxa"/>
        </w:tblCellMar>
        <w:tblLook w:val="04A0" w:firstRow="1" w:lastRow="0" w:firstColumn="1" w:lastColumn="0" w:noHBand="0" w:noVBand="1"/>
      </w:tblPr>
      <w:tblGrid>
        <w:gridCol w:w="2330"/>
        <w:gridCol w:w="5603"/>
        <w:gridCol w:w="1553"/>
      </w:tblGrid>
      <w:tr w:rsidR="00E66558" w14:paraId="2A7D5519" w14:textId="77777777" w:rsidTr="002B7482">
        <w:tc>
          <w:tcPr>
            <w:tcW w:w="2330"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A7D5516" w14:textId="77777777" w:rsidR="00E66558" w:rsidRDefault="009D71E8">
            <w:pPr>
              <w:pStyle w:val="TableHeader"/>
              <w:jc w:val="left"/>
            </w:pPr>
            <w:r>
              <w:t>Activity</w:t>
            </w:r>
          </w:p>
        </w:tc>
        <w:tc>
          <w:tcPr>
            <w:tcW w:w="5603"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21" w14:textId="77777777" w:rsidTr="002B7482">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E" w14:textId="4AF4729C" w:rsidR="00E66558" w:rsidRDefault="00F843B4" w:rsidP="00CC5B56">
            <w:pPr>
              <w:spacing w:before="60" w:after="120" w:line="240" w:lineRule="auto"/>
              <w:ind w:left="28" w:right="57"/>
              <w:rPr>
                <w:i/>
                <w:sz w:val="22"/>
              </w:rPr>
            </w:pPr>
            <w:r>
              <w:t xml:space="preserve">Professional development on </w:t>
            </w:r>
            <w:proofErr w:type="gramStart"/>
            <w:r>
              <w:t>evidence based</w:t>
            </w:r>
            <w:proofErr w:type="gramEnd"/>
            <w:r>
              <w:t xml:space="preserve"> approaches included time for staff research and observation to support varied pupil needs. </w:t>
            </w:r>
          </w:p>
        </w:tc>
        <w:tc>
          <w:tcPr>
            <w:tcW w:w="5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F" w14:textId="493A23FE" w:rsidR="00E66558" w:rsidRDefault="00812207" w:rsidP="00F13F1E">
            <w:pPr>
              <w:pStyle w:val="TableRowCentered"/>
              <w:jc w:val="left"/>
              <w:rPr>
                <w:sz w:val="22"/>
              </w:rPr>
            </w:pPr>
            <w:r>
              <w:t xml:space="preserve">EEF </w:t>
            </w:r>
            <w:r w:rsidR="00A76E14">
              <w:t>e</w:t>
            </w:r>
            <w:r>
              <w:t>vidence indicates that high quality teaching is the most important lever schools have to improve pupil attainment, including for disadvantaged pupils. Schools should focus on building teacher knowledge and pedagogical expertise, curriculum development, and the purposeful use of assessment.</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5B48A966" w:rsidR="00E66558" w:rsidRDefault="00D943C7">
            <w:pPr>
              <w:pStyle w:val="TableRowCentered"/>
              <w:jc w:val="left"/>
              <w:rPr>
                <w:sz w:val="22"/>
              </w:rPr>
            </w:pPr>
            <w:r>
              <w:rPr>
                <w:sz w:val="22"/>
              </w:rPr>
              <w:t>2</w:t>
            </w:r>
          </w:p>
        </w:tc>
      </w:tr>
      <w:tr w:rsidR="00F13F1E" w14:paraId="425A007F" w14:textId="77777777" w:rsidTr="002B7482">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9C411" w14:textId="31DD62D7" w:rsidR="00F13F1E" w:rsidRPr="00E27862" w:rsidRDefault="00360865" w:rsidP="00F13F1E">
            <w:pPr>
              <w:suppressAutoHyphens w:val="0"/>
              <w:autoSpaceDN/>
              <w:spacing w:before="60" w:line="240" w:lineRule="auto"/>
              <w:ind w:left="29" w:right="57"/>
              <w:rPr>
                <w:iCs/>
                <w:color w:val="auto"/>
                <w:lang w:val="en-US"/>
              </w:rPr>
            </w:pPr>
            <w:r>
              <w:rPr>
                <w:iCs/>
                <w:color w:val="auto"/>
                <w:lang w:val="en-US"/>
              </w:rPr>
              <w:t>Review an</w:t>
            </w:r>
            <w:r w:rsidR="00C10E35">
              <w:rPr>
                <w:iCs/>
                <w:color w:val="auto"/>
                <w:lang w:val="en-US"/>
              </w:rPr>
              <w:t>d</w:t>
            </w:r>
            <w:r w:rsidR="00D03A41">
              <w:rPr>
                <w:iCs/>
                <w:color w:val="auto"/>
                <w:lang w:val="en-US"/>
              </w:rPr>
              <w:t xml:space="preserve"> </w:t>
            </w:r>
            <w:r>
              <w:rPr>
                <w:iCs/>
                <w:color w:val="auto"/>
                <w:lang w:val="en-US"/>
              </w:rPr>
              <w:t xml:space="preserve">staff training </w:t>
            </w:r>
            <w:r w:rsidR="00CF5714">
              <w:rPr>
                <w:iCs/>
                <w:color w:val="auto"/>
                <w:lang w:val="en-US"/>
              </w:rPr>
              <w:t xml:space="preserve">to better meet the needs of a more complex cohort including </w:t>
            </w:r>
            <w:r w:rsidR="006303A2">
              <w:rPr>
                <w:iCs/>
                <w:color w:val="auto"/>
                <w:lang w:val="en-US"/>
              </w:rPr>
              <w:t>speaking an</w:t>
            </w:r>
            <w:r w:rsidR="001071DB">
              <w:rPr>
                <w:iCs/>
                <w:color w:val="auto"/>
                <w:lang w:val="en-US"/>
              </w:rPr>
              <w:t>d</w:t>
            </w:r>
            <w:r w:rsidR="006303A2">
              <w:rPr>
                <w:iCs/>
                <w:color w:val="auto"/>
                <w:lang w:val="en-US"/>
              </w:rPr>
              <w:t xml:space="preserve"> listening and the use of therapeutic language to support. </w:t>
            </w:r>
            <w:r w:rsidR="00CF5714">
              <w:rPr>
                <w:iCs/>
                <w:color w:val="auto"/>
                <w:lang w:val="en-US"/>
              </w:rPr>
              <w:t xml:space="preserve"> </w:t>
            </w:r>
          </w:p>
          <w:p w14:paraId="3A1B3F73" w14:textId="1C737E38" w:rsidR="00F13F1E" w:rsidRPr="00E27862" w:rsidRDefault="00F13F1E" w:rsidP="00F13F1E">
            <w:pPr>
              <w:spacing w:before="60" w:after="120" w:line="240" w:lineRule="auto"/>
              <w:ind w:left="28" w:right="57"/>
              <w:rPr>
                <w:color w:val="auto"/>
              </w:rPr>
            </w:pPr>
            <w:r w:rsidRPr="00E27862">
              <w:rPr>
                <w:color w:val="auto"/>
              </w:rPr>
              <w:t>We will purchase resources and fund ongoing teacher training and release time.</w:t>
            </w:r>
          </w:p>
        </w:tc>
        <w:tc>
          <w:tcPr>
            <w:tcW w:w="5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5106D" w14:textId="77777777" w:rsidR="00F13F1E" w:rsidRPr="00E27862" w:rsidRDefault="00F13F1E" w:rsidP="00F13F1E">
            <w:pPr>
              <w:suppressAutoHyphens w:val="0"/>
              <w:autoSpaceDN/>
              <w:spacing w:before="60" w:after="60" w:line="240" w:lineRule="auto"/>
              <w:ind w:left="57" w:right="57"/>
              <w:rPr>
                <w:rFonts w:cs="Arial"/>
                <w:color w:val="auto"/>
              </w:rPr>
            </w:pPr>
            <w:r w:rsidRPr="00E27862">
              <w:rPr>
                <w:rFonts w:cs="Arial"/>
                <w:color w:val="auto"/>
              </w:rPr>
              <w:t>There is a strong evidence base that suggests oral language interventions, including dialogic activities such as high-quality classroom discussion, are inexpensive to implement with high impacts on reading:</w:t>
            </w:r>
          </w:p>
          <w:p w14:paraId="386B63F4" w14:textId="77777777" w:rsidR="00F13F1E" w:rsidRDefault="00F13F1E" w:rsidP="00F13F1E">
            <w:pPr>
              <w:suppressAutoHyphens w:val="0"/>
              <w:autoSpaceDN/>
              <w:spacing w:before="60" w:after="60" w:line="240" w:lineRule="auto"/>
              <w:ind w:left="57" w:right="57"/>
              <w:rPr>
                <w:rFonts w:cs="Arial"/>
                <w:color w:val="0070C0"/>
                <w:u w:val="single"/>
              </w:rPr>
            </w:pPr>
            <w:hyperlink r:id="rId11" w:history="1">
              <w:r w:rsidRPr="00391C6D">
                <w:rPr>
                  <w:rFonts w:cs="Arial"/>
                  <w:color w:val="0070C0"/>
                  <w:u w:val="single"/>
                </w:rPr>
                <w:t>Oral language interventions | Toolkit Strand | Education Endowment Foundation | EEF</w:t>
              </w:r>
            </w:hyperlink>
          </w:p>
          <w:p w14:paraId="43BAB768" w14:textId="77777777" w:rsidR="00F13F1E" w:rsidRDefault="00F13F1E" w:rsidP="00F13F1E">
            <w:pPr>
              <w:suppressAutoHyphens w:val="0"/>
              <w:autoSpaceDN/>
              <w:spacing w:before="60" w:after="60" w:line="240" w:lineRule="auto"/>
              <w:ind w:left="57" w:right="57"/>
              <w:rPr>
                <w:rFonts w:cs="Arial"/>
                <w:iCs/>
                <w:color w:val="auto"/>
              </w:rPr>
            </w:pPr>
          </w:p>
          <w:p w14:paraId="5631FB0F" w14:textId="77777777" w:rsidR="00F13F1E" w:rsidRDefault="00F13F1E" w:rsidP="00F13F1E">
            <w:pPr>
              <w:suppressAutoHyphens w:val="0"/>
              <w:autoSpaceDN/>
              <w:spacing w:before="60" w:after="60" w:line="240" w:lineRule="auto"/>
              <w:ind w:left="57" w:right="57"/>
              <w:rPr>
                <w:rFonts w:cs="Arial"/>
                <w:iCs/>
                <w:color w:val="auto"/>
              </w:rPr>
            </w:pPr>
            <w:r>
              <w:rPr>
                <w:rFonts w:cs="Arial"/>
                <w:iCs/>
                <w:color w:val="auto"/>
              </w:rPr>
              <w:t xml:space="preserve">Voice 21 research into the teaching of Oracy and further development our participation in the Get Talking in Pru’s project.  </w:t>
            </w:r>
          </w:p>
          <w:p w14:paraId="08A5B03A" w14:textId="77777777" w:rsidR="003915DA" w:rsidRDefault="003915DA" w:rsidP="00F13F1E">
            <w:pPr>
              <w:suppressAutoHyphens w:val="0"/>
              <w:autoSpaceDN/>
              <w:spacing w:before="60" w:after="60" w:line="240" w:lineRule="auto"/>
              <w:ind w:left="57" w:right="57"/>
              <w:rPr>
                <w:rFonts w:cs="Arial"/>
                <w:iCs/>
                <w:color w:val="auto"/>
              </w:rPr>
            </w:pPr>
          </w:p>
          <w:p w14:paraId="425E0282" w14:textId="4845574E" w:rsidR="003915DA" w:rsidRPr="00E27862" w:rsidRDefault="003915DA" w:rsidP="00F13F1E">
            <w:pPr>
              <w:suppressAutoHyphens w:val="0"/>
              <w:autoSpaceDN/>
              <w:spacing w:before="60" w:after="60" w:line="240" w:lineRule="auto"/>
              <w:ind w:left="57" w:right="57"/>
              <w:rPr>
                <w:rFonts w:cs="Arial"/>
                <w:iCs/>
                <w:color w:val="auto"/>
              </w:rPr>
            </w:pPr>
            <w:r>
              <w:rPr>
                <w:rFonts w:cs="Arial"/>
                <w:iCs/>
                <w:color w:val="auto"/>
              </w:rPr>
              <w:t xml:space="preserve">Positive Regard </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30600" w14:textId="247CF4B8" w:rsidR="00F13F1E" w:rsidRDefault="00F13F1E">
            <w:pPr>
              <w:pStyle w:val="TableRowCentered"/>
              <w:jc w:val="left"/>
              <w:rPr>
                <w:sz w:val="22"/>
              </w:rPr>
            </w:pPr>
            <w:r>
              <w:rPr>
                <w:sz w:val="22"/>
              </w:rPr>
              <w:t>1</w:t>
            </w:r>
          </w:p>
        </w:tc>
      </w:tr>
      <w:tr w:rsidR="00A05EB5" w14:paraId="0A5AA2AB" w14:textId="77777777" w:rsidTr="002B7482">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FDA8D" w14:textId="1FB26CC6" w:rsidR="004F4BFD" w:rsidRPr="00E27862" w:rsidRDefault="00A05EB5" w:rsidP="00346792">
            <w:pPr>
              <w:suppressAutoHyphens w:val="0"/>
              <w:autoSpaceDN/>
              <w:spacing w:before="60" w:line="240" w:lineRule="auto"/>
              <w:ind w:left="29" w:right="57"/>
              <w:rPr>
                <w:iCs/>
                <w:color w:val="auto"/>
                <w:lang w:val="en-US"/>
              </w:rPr>
            </w:pPr>
            <w:r>
              <w:rPr>
                <w:iCs/>
                <w:color w:val="auto"/>
                <w:lang w:val="en-US"/>
              </w:rPr>
              <w:t xml:space="preserve">Update of Read, Write Inc resources to ensure a systematic approach to teaching phonics.  </w:t>
            </w:r>
          </w:p>
        </w:tc>
        <w:tc>
          <w:tcPr>
            <w:tcW w:w="5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6389E" w14:textId="77777777" w:rsidR="00A05EB5" w:rsidRPr="00E27862" w:rsidRDefault="00A05EB5" w:rsidP="00A05EB5">
            <w:pPr>
              <w:pStyle w:val="TableRowCentered"/>
              <w:jc w:val="left"/>
              <w:rPr>
                <w:rFonts w:cs="Arial"/>
                <w:color w:val="auto"/>
                <w:szCs w:val="24"/>
              </w:rPr>
            </w:pPr>
            <w:r w:rsidRPr="00E27862">
              <w:rPr>
                <w:rFonts w:cs="Arial"/>
                <w:color w:val="auto"/>
                <w:szCs w:val="24"/>
              </w:rPr>
              <w:t xml:space="preserve">Phonics approaches have a strong evidence base that indicates a positive impact on the accuracy of word reading (though not necessarily comprehension), particularly for disadvantaged pupils: </w:t>
            </w:r>
          </w:p>
          <w:p w14:paraId="2F4B1247" w14:textId="77777777" w:rsidR="00A05EB5" w:rsidRDefault="00A05EB5" w:rsidP="00A05EB5">
            <w:pPr>
              <w:suppressAutoHyphens w:val="0"/>
              <w:autoSpaceDN/>
              <w:spacing w:before="60" w:after="60" w:line="240" w:lineRule="auto"/>
              <w:ind w:left="57" w:right="57"/>
              <w:rPr>
                <w:color w:val="0070C0"/>
                <w:u w:val="single"/>
              </w:rPr>
            </w:pPr>
            <w:hyperlink r:id="rId12" w:history="1">
              <w:r w:rsidRPr="00D01A6D">
                <w:rPr>
                  <w:color w:val="0070C0"/>
                  <w:u w:val="single"/>
                </w:rPr>
                <w:t>Phonics | Toolkit Strand | Education Endowment Foundation | EEF</w:t>
              </w:r>
            </w:hyperlink>
          </w:p>
          <w:p w14:paraId="194FFE4F" w14:textId="79625E34" w:rsidR="00670C83" w:rsidRPr="0056554F" w:rsidRDefault="00670C83" w:rsidP="00346792">
            <w:pPr>
              <w:suppressAutoHyphens w:val="0"/>
              <w:autoSpaceDN/>
              <w:spacing w:before="60" w:after="60" w:line="240" w:lineRule="auto"/>
              <w:ind w:right="57"/>
              <w:rPr>
                <w:rFonts w:cs="Arial"/>
                <w:color w:val="000000" w:themeColor="text1"/>
              </w:rPr>
            </w:pP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BE12F" w14:textId="5B452025" w:rsidR="00A05EB5" w:rsidRDefault="00A05EB5">
            <w:pPr>
              <w:pStyle w:val="TableRowCentered"/>
              <w:jc w:val="left"/>
              <w:rPr>
                <w:sz w:val="22"/>
              </w:rPr>
            </w:pPr>
            <w:r>
              <w:rPr>
                <w:sz w:val="22"/>
              </w:rPr>
              <w:t>3</w:t>
            </w:r>
          </w:p>
        </w:tc>
      </w:tr>
      <w:tr w:rsidR="00346792" w14:paraId="5988BF58" w14:textId="77777777" w:rsidTr="002B7482">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15896" w14:textId="77777777" w:rsidR="00346792" w:rsidRDefault="00346792" w:rsidP="00346792">
            <w:pPr>
              <w:suppressAutoHyphens w:val="0"/>
              <w:autoSpaceDN/>
              <w:spacing w:before="60" w:line="240" w:lineRule="auto"/>
              <w:ind w:left="29" w:right="57"/>
              <w:rPr>
                <w:iCs/>
                <w:color w:val="auto"/>
                <w:lang w:val="en-US"/>
              </w:rPr>
            </w:pPr>
            <w:r>
              <w:rPr>
                <w:iCs/>
                <w:color w:val="auto"/>
                <w:lang w:val="en-US"/>
              </w:rPr>
              <w:t xml:space="preserve">Review of writing strategy to support progress in writing </w:t>
            </w:r>
            <w:r>
              <w:rPr>
                <w:iCs/>
                <w:color w:val="auto"/>
                <w:lang w:val="en-US"/>
              </w:rPr>
              <w:lastRenderedPageBreak/>
              <w:t xml:space="preserve">including handwriting training for all staff. </w:t>
            </w:r>
          </w:p>
          <w:p w14:paraId="263716BC" w14:textId="0560582C" w:rsidR="00346792" w:rsidRDefault="00346792" w:rsidP="00346792">
            <w:pPr>
              <w:suppressAutoHyphens w:val="0"/>
              <w:autoSpaceDN/>
              <w:spacing w:before="60" w:line="240" w:lineRule="auto"/>
              <w:ind w:left="29" w:right="57"/>
              <w:rPr>
                <w:iCs/>
                <w:color w:val="auto"/>
                <w:lang w:val="en-US"/>
              </w:rPr>
            </w:pPr>
            <w:r w:rsidRPr="00E27862">
              <w:rPr>
                <w:color w:val="auto"/>
              </w:rPr>
              <w:t>We will purchase resources and fund ongoing teacher training and release time.</w:t>
            </w:r>
          </w:p>
        </w:tc>
        <w:tc>
          <w:tcPr>
            <w:tcW w:w="5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FF0F5" w14:textId="4DC4DF69" w:rsidR="00346792" w:rsidRPr="00E27862" w:rsidRDefault="00346792" w:rsidP="00A05EB5">
            <w:pPr>
              <w:pStyle w:val="TableRowCentered"/>
              <w:jc w:val="left"/>
              <w:rPr>
                <w:rFonts w:cs="Arial"/>
                <w:color w:val="auto"/>
                <w:szCs w:val="24"/>
              </w:rPr>
            </w:pPr>
            <w:r>
              <w:rPr>
                <w:rFonts w:cs="Arial"/>
                <w:color w:val="0070C0"/>
                <w:u w:val="single"/>
              </w:rPr>
              <w:lastRenderedPageBreak/>
              <w:t xml:space="preserve">ISHA handwriting training </w:t>
            </w:r>
            <w:r w:rsidRPr="003915DA">
              <w:rPr>
                <w:rFonts w:cs="Arial"/>
                <w:color w:val="000000" w:themeColor="text1"/>
              </w:rPr>
              <w:t xml:space="preserve">provides strong evidence to suggest that their strategies have a significant impact on </w:t>
            </w:r>
            <w:proofErr w:type="gramStart"/>
            <w:r w:rsidRPr="003915DA">
              <w:rPr>
                <w:rFonts w:cs="Arial"/>
                <w:color w:val="000000" w:themeColor="text1"/>
              </w:rPr>
              <w:t>pupils</w:t>
            </w:r>
            <w:proofErr w:type="gramEnd"/>
            <w:r w:rsidRPr="003915DA">
              <w:rPr>
                <w:rFonts w:cs="Arial"/>
                <w:color w:val="000000" w:themeColor="text1"/>
              </w:rPr>
              <w:t xml:space="preserve"> engagement, progress and self-esteem.</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BA57F" w14:textId="77777777" w:rsidR="00346792" w:rsidRDefault="00346792">
            <w:pPr>
              <w:pStyle w:val="TableRowCentered"/>
              <w:jc w:val="left"/>
              <w:rPr>
                <w:sz w:val="22"/>
              </w:rPr>
            </w:pPr>
          </w:p>
        </w:tc>
      </w:tr>
      <w:tr w:rsidR="00A05EB5" w14:paraId="31C63F8F" w14:textId="77777777" w:rsidTr="002B7482">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89953" w14:textId="18340501" w:rsidR="00A05EB5" w:rsidRDefault="009133B9" w:rsidP="00F13F1E">
            <w:pPr>
              <w:suppressAutoHyphens w:val="0"/>
              <w:autoSpaceDN/>
              <w:spacing w:before="60" w:line="240" w:lineRule="auto"/>
              <w:ind w:left="29" w:right="57"/>
              <w:rPr>
                <w:iCs/>
                <w:color w:val="auto"/>
                <w:lang w:val="en-US"/>
              </w:rPr>
            </w:pPr>
            <w:r>
              <w:rPr>
                <w:iCs/>
                <w:color w:val="auto"/>
                <w:lang w:val="en-US"/>
              </w:rPr>
              <w:t>Development of the outdoor learning opportunities</w:t>
            </w:r>
            <w:r w:rsidR="00161559">
              <w:rPr>
                <w:iCs/>
                <w:color w:val="auto"/>
                <w:lang w:val="en-US"/>
              </w:rPr>
              <w:t>, including a trained member of staff,</w:t>
            </w:r>
            <w:r>
              <w:rPr>
                <w:iCs/>
                <w:color w:val="auto"/>
                <w:lang w:val="en-US"/>
              </w:rPr>
              <w:t xml:space="preserve"> for all pupils to support resilience and engagement in curriculum. </w:t>
            </w:r>
          </w:p>
        </w:tc>
        <w:tc>
          <w:tcPr>
            <w:tcW w:w="5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05ECA" w14:textId="77777777" w:rsidR="00A05EB5" w:rsidRDefault="009133B9" w:rsidP="00A05EB5">
            <w:pPr>
              <w:pStyle w:val="TableRowCentered"/>
              <w:jc w:val="left"/>
              <w:rPr>
                <w:rFonts w:cs="Arial"/>
                <w:color w:val="auto"/>
                <w:szCs w:val="24"/>
              </w:rPr>
            </w:pPr>
            <w:r>
              <w:rPr>
                <w:rFonts w:cs="Arial"/>
                <w:color w:val="auto"/>
                <w:szCs w:val="24"/>
              </w:rPr>
              <w:t xml:space="preserve">Research demonstrates increased confidence, </w:t>
            </w:r>
            <w:proofErr w:type="spellStart"/>
            <w:r>
              <w:rPr>
                <w:rFonts w:cs="Arial"/>
                <w:color w:val="auto"/>
                <w:szCs w:val="24"/>
              </w:rPr>
              <w:t>self esteem</w:t>
            </w:r>
            <w:proofErr w:type="spellEnd"/>
            <w:r>
              <w:rPr>
                <w:rFonts w:cs="Arial"/>
                <w:color w:val="auto"/>
                <w:szCs w:val="24"/>
              </w:rPr>
              <w:t xml:space="preserve"> and resilience through access to forest schools and outdoor learning.</w:t>
            </w:r>
          </w:p>
          <w:bookmarkStart w:id="17" w:name="_Hlk89757997"/>
          <w:p w14:paraId="0BB02F54" w14:textId="60FD66AD" w:rsidR="00161559" w:rsidRDefault="00161559" w:rsidP="00A05EB5">
            <w:pPr>
              <w:pStyle w:val="TableRowCentered"/>
              <w:jc w:val="left"/>
              <w:rPr>
                <w:rFonts w:cs="Arial"/>
                <w:color w:val="548DD4" w:themeColor="text2" w:themeTint="99"/>
                <w:szCs w:val="24"/>
              </w:rPr>
            </w:pPr>
            <w:r>
              <w:rPr>
                <w:rFonts w:cs="Arial"/>
                <w:color w:val="548DD4" w:themeColor="text2" w:themeTint="99"/>
                <w:szCs w:val="24"/>
              </w:rPr>
              <w:fldChar w:fldCharType="begin"/>
            </w:r>
            <w:r>
              <w:rPr>
                <w:rFonts w:cs="Arial"/>
                <w:color w:val="548DD4" w:themeColor="text2" w:themeTint="99"/>
                <w:szCs w:val="24"/>
              </w:rPr>
              <w:instrText xml:space="preserve"> HYPERLINK "</w:instrText>
            </w:r>
            <w:r w:rsidRPr="00EA7FAA">
              <w:rPr>
                <w:rFonts w:cs="Arial"/>
                <w:color w:val="548DD4" w:themeColor="text2" w:themeTint="99"/>
                <w:szCs w:val="24"/>
              </w:rPr>
              <w:instrText>https://www.forestresearch.gov.uk/research/</w:instrText>
            </w:r>
            <w:r>
              <w:rPr>
                <w:rFonts w:cs="Arial"/>
                <w:color w:val="548DD4" w:themeColor="text2" w:themeTint="99"/>
                <w:szCs w:val="24"/>
              </w:rPr>
              <w:instrText xml:space="preserve">" </w:instrText>
            </w:r>
            <w:r>
              <w:rPr>
                <w:rFonts w:cs="Arial"/>
                <w:color w:val="548DD4" w:themeColor="text2" w:themeTint="99"/>
                <w:szCs w:val="24"/>
              </w:rPr>
            </w:r>
            <w:r>
              <w:rPr>
                <w:rFonts w:cs="Arial"/>
                <w:color w:val="548DD4" w:themeColor="text2" w:themeTint="99"/>
                <w:szCs w:val="24"/>
              </w:rPr>
              <w:fldChar w:fldCharType="separate"/>
            </w:r>
            <w:r w:rsidRPr="003A5252">
              <w:rPr>
                <w:rStyle w:val="Hyperlink"/>
                <w:rFonts w:cs="Arial"/>
                <w:szCs w:val="24"/>
                <w14:textFill>
                  <w14:solidFill>
                    <w14:srgbClr w14:val="0000FF">
                      <w14:lumMod w14:val="60000"/>
                      <w14:lumOff w14:val="40000"/>
                    </w14:srgbClr>
                  </w14:solidFill>
                </w14:textFill>
              </w:rPr>
              <w:t>https://www.forestresearch.gov.uk/research/</w:t>
            </w:r>
            <w:r>
              <w:rPr>
                <w:rFonts w:cs="Arial"/>
                <w:color w:val="548DD4" w:themeColor="text2" w:themeTint="99"/>
                <w:szCs w:val="24"/>
              </w:rPr>
              <w:fldChar w:fldCharType="end"/>
            </w:r>
          </w:p>
          <w:p w14:paraId="492EE4FC" w14:textId="48CA15B9" w:rsidR="009133B9" w:rsidRPr="00E27862" w:rsidRDefault="009133B9" w:rsidP="00A05EB5">
            <w:pPr>
              <w:pStyle w:val="TableRowCentered"/>
              <w:jc w:val="left"/>
              <w:rPr>
                <w:rFonts w:cs="Arial"/>
                <w:color w:val="auto"/>
                <w:szCs w:val="24"/>
              </w:rPr>
            </w:pPr>
            <w:r w:rsidRPr="00EA7FAA">
              <w:rPr>
                <w:rFonts w:cs="Arial"/>
                <w:color w:val="548DD4" w:themeColor="text2" w:themeTint="99"/>
                <w:szCs w:val="24"/>
              </w:rPr>
              <w:t>forest-schools-impact-on-young-children-in-</w:t>
            </w:r>
            <w:proofErr w:type="spellStart"/>
            <w:r w:rsidRPr="00EA7FAA">
              <w:rPr>
                <w:rFonts w:cs="Arial"/>
                <w:color w:val="548DD4" w:themeColor="text2" w:themeTint="99"/>
                <w:szCs w:val="24"/>
              </w:rPr>
              <w:t>england</w:t>
            </w:r>
            <w:proofErr w:type="spellEnd"/>
            <w:r w:rsidRPr="00EA7FAA">
              <w:rPr>
                <w:rFonts w:cs="Arial"/>
                <w:color w:val="548DD4" w:themeColor="text2" w:themeTint="99"/>
                <w:szCs w:val="24"/>
              </w:rPr>
              <w:t>-and-</w:t>
            </w:r>
            <w:proofErr w:type="spellStart"/>
            <w:r w:rsidRPr="00EA7FAA">
              <w:rPr>
                <w:rFonts w:cs="Arial"/>
                <w:color w:val="548DD4" w:themeColor="text2" w:themeTint="99"/>
                <w:szCs w:val="24"/>
              </w:rPr>
              <w:t>wales</w:t>
            </w:r>
            <w:bookmarkEnd w:id="17"/>
            <w:proofErr w:type="spellEnd"/>
            <w:r w:rsidR="00EA7FAA" w:rsidRPr="00EA7FAA">
              <w:rPr>
                <w:rFonts w:cs="Arial"/>
                <w:color w:val="548DD4" w:themeColor="text2" w:themeTint="99"/>
                <w:szCs w:val="24"/>
              </w:rPr>
              <w:t>/</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37D9A" w14:textId="492DA5B2" w:rsidR="00A05EB5" w:rsidRDefault="00342882">
            <w:pPr>
              <w:pStyle w:val="TableRowCentered"/>
              <w:jc w:val="left"/>
              <w:rPr>
                <w:sz w:val="22"/>
              </w:rPr>
            </w:pPr>
            <w:r>
              <w:rPr>
                <w:sz w:val="22"/>
              </w:rPr>
              <w:t>2</w:t>
            </w:r>
          </w:p>
        </w:tc>
      </w:tr>
    </w:tbl>
    <w:p w14:paraId="2A7D5522" w14:textId="77777777" w:rsidR="00E66558" w:rsidRDefault="00E66558">
      <w:pPr>
        <w:keepNext/>
        <w:spacing w:after="60"/>
        <w:outlineLvl w:val="1"/>
      </w:pPr>
    </w:p>
    <w:p w14:paraId="2A7D5523" w14:textId="1DC08891" w:rsidR="00E66558" w:rsidRPr="00212908" w:rsidRDefault="009D71E8">
      <w:pPr>
        <w:rPr>
          <w:b/>
          <w:bCs/>
          <w:color w:val="auto"/>
          <w:sz w:val="28"/>
          <w:szCs w:val="28"/>
        </w:rPr>
      </w:pPr>
      <w:r w:rsidRPr="00212908">
        <w:rPr>
          <w:b/>
          <w:bCs/>
          <w:color w:val="auto"/>
          <w:sz w:val="28"/>
          <w:szCs w:val="28"/>
        </w:rPr>
        <w:t xml:space="preserve">Targeted academic support (for example, </w:t>
      </w:r>
      <w:r w:rsidR="00D33FE5" w:rsidRPr="00212908">
        <w:rPr>
          <w:b/>
          <w:bCs/>
          <w:color w:val="auto"/>
          <w:sz w:val="28"/>
          <w:szCs w:val="28"/>
        </w:rPr>
        <w:t xml:space="preserve">tutoring, one-to-one support </w:t>
      </w:r>
      <w:r w:rsidRPr="00212908">
        <w:rPr>
          <w:b/>
          <w:bCs/>
          <w:color w:val="auto"/>
          <w:sz w:val="28"/>
          <w:szCs w:val="28"/>
        </w:rPr>
        <w:t xml:space="preserve">structured interventions) </w:t>
      </w:r>
    </w:p>
    <w:p w14:paraId="2A7D5524" w14:textId="49AAC93B" w:rsidR="00E66558" w:rsidRDefault="009D71E8">
      <w:r>
        <w:t>Budgeted cost: £</w:t>
      </w:r>
      <w:r w:rsidR="00CB7DCC">
        <w:t>9</w:t>
      </w:r>
      <w:r w:rsidR="00732861">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212908">
        <w:tc>
          <w:tcPr>
            <w:tcW w:w="268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312A8B7F" w:rsidR="00E66558" w:rsidRDefault="00A05EB5">
            <w:pPr>
              <w:pStyle w:val="TableRow"/>
              <w:rPr>
                <w:i/>
                <w:sz w:val="22"/>
              </w:rPr>
            </w:pPr>
            <w:r w:rsidRPr="00E27862">
              <w:rPr>
                <w:rFonts w:cs="Arial"/>
                <w:iCs/>
                <w:color w:val="auto"/>
                <w:lang w:val="en-US"/>
              </w:rPr>
              <w:t>Additional phonics sessions targeted at disadvantaged pupils who require further phonics support.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9BFE0" w14:textId="77777777" w:rsidR="00A05EB5" w:rsidRPr="00E27862" w:rsidRDefault="00A05EB5" w:rsidP="00A05EB5">
            <w:pPr>
              <w:pStyle w:val="TableRowCentered"/>
              <w:jc w:val="left"/>
              <w:rPr>
                <w:rFonts w:cs="Arial"/>
                <w:color w:val="auto"/>
                <w:szCs w:val="24"/>
              </w:rPr>
            </w:pPr>
            <w:r w:rsidRPr="00E27862">
              <w:rPr>
                <w:rFonts w:cs="Arial"/>
                <w:color w:val="auto"/>
                <w:szCs w:val="24"/>
              </w:rPr>
              <w:t>Phonics approaches have a strong evidence base indicating a positive impact on pupils, particularly from disadvantaged backgrounds. Targeted phonics interventions have been shown to be more effective when delivered as regular sessions over a period up to 12 weeks:</w:t>
            </w:r>
          </w:p>
          <w:p w14:paraId="2A7D552E" w14:textId="5E82E13F" w:rsidR="00E66558" w:rsidRDefault="00A05EB5" w:rsidP="00A05EB5">
            <w:pPr>
              <w:pStyle w:val="TableRowCentered"/>
              <w:jc w:val="left"/>
              <w:rPr>
                <w:sz w:val="22"/>
              </w:rPr>
            </w:pPr>
            <w:hyperlink r:id="rId13" w:history="1">
              <w:r w:rsidRPr="00094874">
                <w:rPr>
                  <w:color w:val="0070C0"/>
                  <w:szCs w:val="24"/>
                  <w:u w:val="single"/>
                </w:rPr>
                <w:t>Phonics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78128C11" w:rsidR="00E66558" w:rsidRDefault="00FB1116">
            <w:pPr>
              <w:pStyle w:val="TableRowCentered"/>
              <w:jc w:val="left"/>
              <w:rPr>
                <w:sz w:val="22"/>
              </w:rPr>
            </w:pPr>
            <w:r>
              <w:rPr>
                <w:sz w:val="22"/>
              </w:rPr>
              <w:t>3</w:t>
            </w:r>
          </w:p>
        </w:tc>
      </w:tr>
      <w:tr w:rsidR="00A05EB5" w14:paraId="67EC1419"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C56A2" w14:textId="4A683E57" w:rsidR="00A05EB5" w:rsidRPr="00E27862" w:rsidRDefault="00A05EB5" w:rsidP="00A05EB5">
            <w:pPr>
              <w:pStyle w:val="TableRow"/>
              <w:rPr>
                <w:rFonts w:cs="Arial"/>
                <w:iCs/>
                <w:color w:val="auto"/>
                <w:lang w:val="en-US"/>
              </w:rPr>
            </w:pPr>
            <w:r w:rsidRPr="0007067B">
              <w:rPr>
                <w:rFonts w:cs="Arial"/>
                <w:iCs/>
                <w:color w:val="auto"/>
                <w:lang w:val="en-US"/>
              </w:rPr>
              <w:t>Engaging with the National Tutoring Pro-gramme to provide a blend of tuition, mentoring and school-led tutoring for pupils whose education</w:t>
            </w:r>
            <w:r>
              <w:rPr>
                <w:rFonts w:cs="Arial"/>
                <w:iCs/>
                <w:color w:val="auto"/>
                <w:lang w:val="en-US"/>
              </w:rPr>
              <w:t xml:space="preserve"> and progress towards </w:t>
            </w:r>
            <w:r>
              <w:rPr>
                <w:rFonts w:cs="Arial"/>
                <w:iCs/>
                <w:color w:val="auto"/>
                <w:lang w:val="en-US"/>
              </w:rPr>
              <w:lastRenderedPageBreak/>
              <w:t>EHCP/MSP targets</w:t>
            </w:r>
            <w:r w:rsidRPr="0007067B">
              <w:rPr>
                <w:rFonts w:cs="Arial"/>
                <w:iCs/>
                <w:color w:val="auto"/>
                <w:lang w:val="en-US"/>
              </w:rPr>
              <w:t xml:space="preserve"> has been most impacted by the pandemic.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65287" w14:textId="77777777" w:rsidR="00A05EB5" w:rsidRPr="00E27862" w:rsidRDefault="00A05EB5" w:rsidP="00A05EB5">
            <w:pPr>
              <w:suppressAutoHyphens w:val="0"/>
              <w:autoSpaceDN/>
              <w:spacing w:before="60" w:after="60" w:line="240" w:lineRule="auto"/>
              <w:ind w:left="57" w:right="57"/>
              <w:rPr>
                <w:color w:val="auto"/>
              </w:rPr>
            </w:pPr>
            <w:r w:rsidRPr="00E27862">
              <w:rPr>
                <w:color w:val="auto"/>
              </w:rPr>
              <w:lastRenderedPageBreak/>
              <w:t>Tuition targeted at specific needs and knowledge gaps can be an effective method to support low attaining pupils or those falling behind, both one-to-one:</w:t>
            </w:r>
          </w:p>
          <w:p w14:paraId="3218E554" w14:textId="77777777" w:rsidR="00A05EB5" w:rsidRPr="00094874" w:rsidRDefault="00A05EB5" w:rsidP="00A05EB5">
            <w:pPr>
              <w:suppressAutoHyphens w:val="0"/>
              <w:autoSpaceDN/>
              <w:spacing w:before="60" w:after="60" w:line="240" w:lineRule="auto"/>
              <w:ind w:left="57" w:right="57"/>
              <w:rPr>
                <w:color w:val="0070C0"/>
              </w:rPr>
            </w:pPr>
            <w:hyperlink r:id="rId14" w:history="1">
              <w:r w:rsidRPr="00094874">
                <w:rPr>
                  <w:color w:val="0070C0"/>
                  <w:u w:val="single"/>
                </w:rPr>
                <w:t>One to one tuition | EEF (educationendowmentfoundation.org.uk)</w:t>
              </w:r>
            </w:hyperlink>
          </w:p>
          <w:p w14:paraId="00228ABB" w14:textId="77777777" w:rsidR="00A05EB5" w:rsidRPr="00E27862" w:rsidRDefault="00A05EB5" w:rsidP="00A05EB5">
            <w:pPr>
              <w:suppressAutoHyphens w:val="0"/>
              <w:autoSpaceDN/>
              <w:spacing w:before="60" w:after="60" w:line="240" w:lineRule="auto"/>
              <w:ind w:left="57" w:right="57"/>
              <w:rPr>
                <w:color w:val="auto"/>
              </w:rPr>
            </w:pPr>
            <w:r w:rsidRPr="00E27862">
              <w:rPr>
                <w:color w:val="auto"/>
              </w:rPr>
              <w:t>And in small groups:</w:t>
            </w:r>
          </w:p>
          <w:p w14:paraId="62F443CA" w14:textId="4830D8C9" w:rsidR="00A05EB5" w:rsidRPr="00E27862" w:rsidRDefault="00A05EB5" w:rsidP="00A05EB5">
            <w:pPr>
              <w:pStyle w:val="TableRowCentered"/>
              <w:jc w:val="left"/>
              <w:rPr>
                <w:rFonts w:cs="Arial"/>
                <w:color w:val="auto"/>
                <w:szCs w:val="24"/>
              </w:rPr>
            </w:pPr>
            <w:hyperlink r:id="rId15" w:history="1">
              <w:r w:rsidRPr="009A7AA4">
                <w:rPr>
                  <w:color w:val="0070C0"/>
                  <w:u w:val="single"/>
                </w:rPr>
                <w:t>Small group tuition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98C66" w14:textId="16669F7E" w:rsidR="00A05EB5" w:rsidRDefault="009133B9" w:rsidP="00A05EB5">
            <w:pPr>
              <w:pStyle w:val="TableRowCentered"/>
              <w:jc w:val="left"/>
              <w:rPr>
                <w:sz w:val="22"/>
              </w:rPr>
            </w:pPr>
            <w:r>
              <w:rPr>
                <w:sz w:val="22"/>
              </w:rPr>
              <w:lastRenderedPageBreak/>
              <w:t>3</w:t>
            </w:r>
          </w:p>
        </w:tc>
      </w:tr>
      <w:tr w:rsidR="00161559" w14:paraId="6E7E80A7"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BA907" w14:textId="0D16739F" w:rsidR="00161559" w:rsidRPr="0007067B" w:rsidRDefault="00161559" w:rsidP="00A05EB5">
            <w:pPr>
              <w:pStyle w:val="TableRow"/>
              <w:rPr>
                <w:rFonts w:cs="Arial"/>
                <w:iCs/>
                <w:color w:val="auto"/>
                <w:lang w:val="en-US"/>
              </w:rPr>
            </w:pPr>
            <w:r>
              <w:rPr>
                <w:rFonts w:cs="Arial"/>
                <w:iCs/>
                <w:color w:val="auto"/>
                <w:lang w:val="en-US"/>
              </w:rPr>
              <w:t xml:space="preserve">Targeted intervention to support academic and SEMH progress by an additional member of staff 2 days per week.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6B497" w14:textId="77777777" w:rsidR="00161559" w:rsidRPr="00E27862" w:rsidRDefault="00161559" w:rsidP="00161559">
            <w:pPr>
              <w:suppressAutoHyphens w:val="0"/>
              <w:autoSpaceDN/>
              <w:spacing w:before="60" w:after="60" w:line="240" w:lineRule="auto"/>
              <w:ind w:left="57" w:right="57"/>
              <w:rPr>
                <w:color w:val="auto"/>
              </w:rPr>
            </w:pPr>
            <w:r w:rsidRPr="00E27862">
              <w:rPr>
                <w:color w:val="auto"/>
              </w:rPr>
              <w:t>Tuition targeted at specific needs and knowledge gaps can be an effective method to support low attaining pupils or those falling behind, both one-to-one:</w:t>
            </w:r>
          </w:p>
          <w:p w14:paraId="42DAE54A" w14:textId="77777777" w:rsidR="00161559" w:rsidRPr="00094874" w:rsidRDefault="00161559" w:rsidP="00161559">
            <w:pPr>
              <w:suppressAutoHyphens w:val="0"/>
              <w:autoSpaceDN/>
              <w:spacing w:before="60" w:after="60" w:line="240" w:lineRule="auto"/>
              <w:ind w:left="57" w:right="57"/>
              <w:rPr>
                <w:color w:val="0070C0"/>
              </w:rPr>
            </w:pPr>
            <w:hyperlink r:id="rId16" w:history="1">
              <w:r w:rsidRPr="00094874">
                <w:rPr>
                  <w:color w:val="0070C0"/>
                  <w:u w:val="single"/>
                </w:rPr>
                <w:t>One to one tuition | EEF (educationendowmentfoundation.org.uk)</w:t>
              </w:r>
            </w:hyperlink>
          </w:p>
          <w:p w14:paraId="629B18F4" w14:textId="77777777" w:rsidR="00161559" w:rsidRPr="00E27862" w:rsidRDefault="00161559" w:rsidP="00161559">
            <w:pPr>
              <w:suppressAutoHyphens w:val="0"/>
              <w:autoSpaceDN/>
              <w:spacing w:before="60" w:after="60" w:line="240" w:lineRule="auto"/>
              <w:ind w:left="57" w:right="57"/>
              <w:rPr>
                <w:color w:val="auto"/>
              </w:rPr>
            </w:pPr>
            <w:r w:rsidRPr="00E27862">
              <w:rPr>
                <w:color w:val="auto"/>
              </w:rPr>
              <w:t>And in small groups:</w:t>
            </w:r>
          </w:p>
          <w:p w14:paraId="46E05BF1" w14:textId="73193702" w:rsidR="00161559" w:rsidRPr="00E27862" w:rsidRDefault="00161559" w:rsidP="00161559">
            <w:pPr>
              <w:suppressAutoHyphens w:val="0"/>
              <w:autoSpaceDN/>
              <w:spacing w:before="60" w:after="60" w:line="240" w:lineRule="auto"/>
              <w:ind w:left="57" w:right="57"/>
              <w:rPr>
                <w:color w:val="auto"/>
              </w:rPr>
            </w:pPr>
            <w:hyperlink r:id="rId17" w:history="1">
              <w:r w:rsidRPr="009A7AA4">
                <w:rPr>
                  <w:color w:val="0070C0"/>
                  <w:u w:val="single"/>
                </w:rPr>
                <w:t>Small group tuition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403B2" w14:textId="296036EC" w:rsidR="00161559" w:rsidRDefault="00161559" w:rsidP="00A05EB5">
            <w:pPr>
              <w:pStyle w:val="TableRowCentered"/>
              <w:jc w:val="left"/>
              <w:rPr>
                <w:sz w:val="22"/>
              </w:rPr>
            </w:pPr>
            <w:r>
              <w:rPr>
                <w:sz w:val="22"/>
              </w:rPr>
              <w:t>3</w:t>
            </w:r>
          </w:p>
        </w:tc>
      </w:tr>
    </w:tbl>
    <w:p w14:paraId="2A7D5531" w14:textId="77777777" w:rsidR="00E66558" w:rsidRDefault="00E66558">
      <w:pPr>
        <w:spacing w:after="0"/>
        <w:rPr>
          <w:b/>
          <w:color w:val="104F75"/>
          <w:sz w:val="28"/>
          <w:szCs w:val="28"/>
        </w:rPr>
      </w:pPr>
    </w:p>
    <w:p w14:paraId="2A7D5532" w14:textId="59A68BC3" w:rsidR="00E66558" w:rsidRPr="00212908" w:rsidRDefault="009D71E8">
      <w:pPr>
        <w:rPr>
          <w:b/>
          <w:color w:val="auto"/>
          <w:sz w:val="28"/>
          <w:szCs w:val="28"/>
        </w:rPr>
      </w:pPr>
      <w:r w:rsidRPr="00212908">
        <w:rPr>
          <w:b/>
          <w:color w:val="auto"/>
          <w:sz w:val="28"/>
          <w:szCs w:val="28"/>
        </w:rPr>
        <w:t>Wider strategies (for example, related to attendance, behaviour, wellbeing)</w:t>
      </w:r>
    </w:p>
    <w:p w14:paraId="2A7D5533" w14:textId="0D8ABAD0" w:rsidR="00E66558" w:rsidRDefault="009D71E8">
      <w:pPr>
        <w:spacing w:before="240" w:after="120"/>
      </w:pPr>
      <w:r>
        <w:t xml:space="preserve">Budgeted cost: £ </w:t>
      </w:r>
      <w:r w:rsidR="00CB7DCC">
        <w:rPr>
          <w:i/>
          <w:iCs/>
        </w:rPr>
        <w:t>4</w:t>
      </w:r>
      <w:r w:rsidR="00181AD3">
        <w:rPr>
          <w:i/>
          <w:iCs/>
        </w:rPr>
        <w:t>645</w:t>
      </w:r>
    </w:p>
    <w:tbl>
      <w:tblPr>
        <w:tblW w:w="5000" w:type="pct"/>
        <w:tblCellMar>
          <w:left w:w="10" w:type="dxa"/>
          <w:right w:w="10" w:type="dxa"/>
        </w:tblCellMar>
        <w:tblLook w:val="04A0" w:firstRow="1" w:lastRow="0" w:firstColumn="1" w:lastColumn="0" w:noHBand="0" w:noVBand="1"/>
      </w:tblPr>
      <w:tblGrid>
        <w:gridCol w:w="2689"/>
        <w:gridCol w:w="5257"/>
        <w:gridCol w:w="1540"/>
      </w:tblGrid>
      <w:tr w:rsidR="00E66558" w14:paraId="2A7D5537" w14:textId="77777777" w:rsidTr="000C7ED3">
        <w:tc>
          <w:tcPr>
            <w:tcW w:w="268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A7D5534" w14:textId="77777777" w:rsidR="00E66558" w:rsidRDefault="009D71E8">
            <w:pPr>
              <w:pStyle w:val="TableHeader"/>
              <w:jc w:val="left"/>
            </w:pPr>
            <w:r>
              <w:t>Activity</w:t>
            </w:r>
          </w:p>
        </w:tc>
        <w:tc>
          <w:tcPr>
            <w:tcW w:w="5257"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40"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FB1116" w14:paraId="7A3BDAF9" w14:textId="77777777" w:rsidTr="000C7ED3">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058B7" w14:textId="77777777" w:rsidR="00FB1116" w:rsidRDefault="00FB1116" w:rsidP="00A05EB5">
            <w:pPr>
              <w:suppressAutoHyphens w:val="0"/>
              <w:autoSpaceDN/>
              <w:spacing w:before="60" w:after="60" w:line="240" w:lineRule="auto"/>
              <w:ind w:left="29" w:right="57"/>
              <w:rPr>
                <w:rFonts w:cs="Arial"/>
                <w:color w:val="auto"/>
              </w:rPr>
            </w:pPr>
            <w:r w:rsidRPr="00827B91">
              <w:rPr>
                <w:rFonts w:cs="Arial"/>
                <w:color w:val="auto"/>
              </w:rPr>
              <w:t>Engagement of parents with their child and their learning.  </w:t>
            </w:r>
          </w:p>
          <w:p w14:paraId="484908F4" w14:textId="44282EE2" w:rsidR="00FB1116" w:rsidRPr="00E27862" w:rsidRDefault="00FB1116" w:rsidP="00A05EB5">
            <w:pPr>
              <w:suppressAutoHyphens w:val="0"/>
              <w:autoSpaceDN/>
              <w:spacing w:before="60" w:after="60" w:line="240" w:lineRule="auto"/>
              <w:ind w:left="29" w:right="57"/>
              <w:rPr>
                <w:iCs/>
                <w:color w:val="auto"/>
                <w:szCs w:val="28"/>
                <w:lang w:val="en-US"/>
              </w:rPr>
            </w:pPr>
            <w:r w:rsidRPr="00827B91">
              <w:rPr>
                <w:rFonts w:cs="Arial"/>
                <w:color w:val="auto"/>
              </w:rPr>
              <w:t xml:space="preserve">Additional transport to be provided for </w:t>
            </w:r>
            <w:proofErr w:type="gramStart"/>
            <w:r w:rsidRPr="00827B91">
              <w:rPr>
                <w:rFonts w:cs="Arial"/>
                <w:color w:val="auto"/>
              </w:rPr>
              <w:t>hard to reach</w:t>
            </w:r>
            <w:proofErr w:type="gramEnd"/>
            <w:r w:rsidRPr="00827B91">
              <w:rPr>
                <w:rFonts w:cs="Arial"/>
                <w:color w:val="auto"/>
              </w:rPr>
              <w:t xml:space="preserve"> parents to enable them to access parent/pupil sessions.  Funding of resources for parent/child sessions </w:t>
            </w:r>
            <w:proofErr w:type="spellStart"/>
            <w:r w:rsidRPr="00827B91">
              <w:rPr>
                <w:rFonts w:cs="Arial"/>
                <w:color w:val="auto"/>
              </w:rPr>
              <w:t>eg</w:t>
            </w:r>
            <w:proofErr w:type="spellEnd"/>
            <w:r w:rsidRPr="00827B91">
              <w:rPr>
                <w:rFonts w:cs="Arial"/>
                <w:color w:val="auto"/>
              </w:rPr>
              <w:t> baking ingredients and craft supplies.  </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392F8" w14:textId="5423C325" w:rsidR="00F230EF" w:rsidRDefault="00F230EF" w:rsidP="00DA5944">
            <w:pPr>
              <w:pStyle w:val="TableRowCentered"/>
              <w:ind w:left="0"/>
              <w:jc w:val="left"/>
              <w:rPr>
                <w:rFonts w:cs="Arial"/>
                <w:color w:val="37474F"/>
                <w:szCs w:val="24"/>
                <w:shd w:val="clear" w:color="auto" w:fill="FFFFFF"/>
              </w:rPr>
            </w:pPr>
            <w:r>
              <w:rPr>
                <w:rFonts w:cs="Arial"/>
                <w:color w:val="37474F"/>
                <w:szCs w:val="24"/>
                <w:shd w:val="clear" w:color="auto" w:fill="FFFFFF"/>
              </w:rPr>
              <w:t xml:space="preserve">EEF evidence suggests that parental engagement has a positive impact on average of 4 months’ additional progress, particularly for disadvantaged pupils. </w:t>
            </w:r>
          </w:p>
          <w:p w14:paraId="2AEA3930" w14:textId="77777777" w:rsidR="00F230EF" w:rsidRDefault="00F230EF" w:rsidP="00DA5944">
            <w:pPr>
              <w:pStyle w:val="TableRowCentered"/>
              <w:ind w:left="0"/>
              <w:jc w:val="left"/>
              <w:rPr>
                <w:rFonts w:cs="Arial"/>
                <w:color w:val="37474F"/>
                <w:szCs w:val="24"/>
                <w:shd w:val="clear" w:color="auto" w:fill="FFFFFF"/>
              </w:rPr>
            </w:pPr>
          </w:p>
          <w:p w14:paraId="5BE0FE8E" w14:textId="470866D7" w:rsidR="00F230EF" w:rsidRDefault="00F230EF" w:rsidP="00DA5944">
            <w:pPr>
              <w:pStyle w:val="TableRowCentered"/>
              <w:ind w:left="0"/>
              <w:jc w:val="left"/>
              <w:rPr>
                <w:rFonts w:cs="Arial"/>
                <w:color w:val="37474F"/>
                <w:szCs w:val="24"/>
                <w:shd w:val="clear" w:color="auto" w:fill="FFFFFF"/>
              </w:rPr>
            </w:pPr>
            <w:hyperlink r:id="rId18" w:history="1">
              <w:r w:rsidRPr="003A5252">
                <w:rPr>
                  <w:rStyle w:val="Hyperlink"/>
                  <w:rFonts w:cs="Arial"/>
                  <w:szCs w:val="24"/>
                  <w:shd w:val="clear" w:color="auto" w:fill="FFFFFF"/>
                </w:rPr>
                <w:t>https://educationendowmentfoundation.org.uk/</w:t>
              </w:r>
            </w:hyperlink>
          </w:p>
          <w:p w14:paraId="3F1BCBA7" w14:textId="77777777" w:rsidR="00FB1116" w:rsidRDefault="00F230EF" w:rsidP="00DA5944">
            <w:pPr>
              <w:pStyle w:val="TableRowCentered"/>
              <w:ind w:left="0"/>
              <w:jc w:val="left"/>
              <w:rPr>
                <w:rFonts w:cs="Arial"/>
                <w:color w:val="37474F"/>
                <w:szCs w:val="24"/>
                <w:shd w:val="clear" w:color="auto" w:fill="FFFFFF"/>
              </w:rPr>
            </w:pPr>
            <w:r w:rsidRPr="00F230EF">
              <w:rPr>
                <w:rFonts w:cs="Arial"/>
                <w:color w:val="37474F"/>
                <w:szCs w:val="24"/>
                <w:shd w:val="clear" w:color="auto" w:fill="FFFFFF"/>
              </w:rPr>
              <w:t>education-evidence/teaching-learning-toolkit/parental-engagement</w:t>
            </w:r>
          </w:p>
          <w:p w14:paraId="34E94CA3" w14:textId="285E2770" w:rsidR="00F230EF" w:rsidRPr="009133B9" w:rsidRDefault="00F230EF" w:rsidP="00DA5944">
            <w:pPr>
              <w:pStyle w:val="TableRowCentered"/>
              <w:ind w:left="0"/>
              <w:jc w:val="left"/>
              <w:rPr>
                <w:rFonts w:cs="Arial"/>
                <w:color w:val="37474F"/>
                <w:szCs w:val="24"/>
                <w:shd w:val="clear" w:color="auto" w:fill="FFFFFF"/>
              </w:rPr>
            </w:pPr>
          </w:p>
        </w:tc>
        <w:tc>
          <w:tcPr>
            <w:tcW w:w="1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DD471" w14:textId="2B8B59B9" w:rsidR="00FB1116" w:rsidRDefault="00F230EF" w:rsidP="00A05EB5">
            <w:pPr>
              <w:pStyle w:val="TableRowCentered"/>
              <w:jc w:val="left"/>
              <w:rPr>
                <w:sz w:val="22"/>
              </w:rPr>
            </w:pPr>
            <w:r>
              <w:rPr>
                <w:sz w:val="22"/>
              </w:rPr>
              <w:t>1,2</w:t>
            </w:r>
          </w:p>
        </w:tc>
      </w:tr>
      <w:tr w:rsidR="00997C11" w14:paraId="58D2FFBB" w14:textId="77777777" w:rsidTr="000C7ED3">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00847" w14:textId="31A98984" w:rsidR="00997C11" w:rsidRPr="00827B91" w:rsidRDefault="00997C11" w:rsidP="00A05EB5">
            <w:pPr>
              <w:suppressAutoHyphens w:val="0"/>
              <w:autoSpaceDN/>
              <w:spacing w:before="60" w:after="60" w:line="240" w:lineRule="auto"/>
              <w:ind w:left="29" w:right="57"/>
              <w:rPr>
                <w:rFonts w:cs="Arial"/>
                <w:color w:val="auto"/>
              </w:rPr>
            </w:pPr>
            <w:r w:rsidRPr="00E27862">
              <w:rPr>
                <w:color w:val="auto"/>
              </w:rPr>
              <w:t xml:space="preserve">Enhancement of </w:t>
            </w:r>
            <w:r>
              <w:rPr>
                <w:color w:val="auto"/>
              </w:rPr>
              <w:t>wider curriculum opportunities for all pupils including trips, visits and visitors to engage pupils in learning.</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A8FAB" w14:textId="279BED3E" w:rsidR="00997C11" w:rsidRDefault="001A28A9" w:rsidP="00DA5944">
            <w:pPr>
              <w:pStyle w:val="TableRowCentered"/>
              <w:ind w:left="0"/>
              <w:jc w:val="left"/>
              <w:rPr>
                <w:rFonts w:cs="Arial"/>
                <w:color w:val="37474F"/>
                <w:szCs w:val="24"/>
                <w:shd w:val="clear" w:color="auto" w:fill="FFFFFF"/>
              </w:rPr>
            </w:pPr>
            <w:r>
              <w:t xml:space="preserve">Extracurricular activities are an important part of </w:t>
            </w:r>
            <w:proofErr w:type="gramStart"/>
            <w:r>
              <w:t>education in its own right</w:t>
            </w:r>
            <w:proofErr w:type="gramEnd"/>
            <w:r>
              <w:t>. These approaches may increase engagement in learning, but it is important to consider how increased engagement will be translated into improved teaching and learning</w:t>
            </w:r>
          </w:p>
        </w:tc>
        <w:tc>
          <w:tcPr>
            <w:tcW w:w="1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660F9" w14:textId="53A7A9A5" w:rsidR="00997C11" w:rsidRDefault="00EC7BFC" w:rsidP="00A05EB5">
            <w:pPr>
              <w:pStyle w:val="TableRowCentered"/>
              <w:jc w:val="left"/>
              <w:rPr>
                <w:sz w:val="22"/>
              </w:rPr>
            </w:pPr>
            <w:r>
              <w:rPr>
                <w:sz w:val="22"/>
              </w:rPr>
              <w:t>2</w:t>
            </w:r>
          </w:p>
        </w:tc>
      </w:tr>
      <w:tr w:rsidR="00A05EB5" w14:paraId="2A7D553F" w14:textId="77777777" w:rsidTr="000C7ED3">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5D940" w14:textId="14636C19" w:rsidR="00A05EB5" w:rsidRPr="00E27862" w:rsidRDefault="00A05EB5" w:rsidP="00A05EB5">
            <w:pPr>
              <w:suppressAutoHyphens w:val="0"/>
              <w:autoSpaceDN/>
              <w:spacing w:before="60" w:after="60" w:line="240" w:lineRule="auto"/>
              <w:ind w:left="29" w:right="57"/>
              <w:rPr>
                <w:iCs/>
                <w:color w:val="auto"/>
                <w:szCs w:val="28"/>
                <w:lang w:val="en-US"/>
              </w:rPr>
            </w:pPr>
            <w:r w:rsidRPr="00E27862">
              <w:rPr>
                <w:iCs/>
                <w:color w:val="auto"/>
                <w:szCs w:val="28"/>
                <w:lang w:val="en-US"/>
              </w:rPr>
              <w:lastRenderedPageBreak/>
              <w:t>Contingency fund for acute issues</w:t>
            </w:r>
            <w:r>
              <w:rPr>
                <w:iCs/>
                <w:color w:val="auto"/>
                <w:szCs w:val="28"/>
                <w:lang w:val="en-US"/>
              </w:rPr>
              <w:t xml:space="preserve"> </w:t>
            </w:r>
            <w:proofErr w:type="spellStart"/>
            <w:r>
              <w:rPr>
                <w:iCs/>
                <w:color w:val="auto"/>
                <w:szCs w:val="28"/>
                <w:lang w:val="en-US"/>
              </w:rPr>
              <w:t>eg</w:t>
            </w:r>
            <w:proofErr w:type="spellEnd"/>
            <w:r>
              <w:rPr>
                <w:iCs/>
                <w:color w:val="auto"/>
                <w:szCs w:val="28"/>
                <w:lang w:val="en-US"/>
              </w:rPr>
              <w:t xml:space="preserve"> additional counselling or a more bespoke teaching </w:t>
            </w:r>
            <w:proofErr w:type="gramStart"/>
            <w:r>
              <w:rPr>
                <w:iCs/>
                <w:color w:val="auto"/>
                <w:szCs w:val="28"/>
                <w:lang w:val="en-US"/>
              </w:rPr>
              <w:t>packages</w:t>
            </w:r>
            <w:proofErr w:type="gramEnd"/>
            <w:r>
              <w:rPr>
                <w:iCs/>
                <w:color w:val="auto"/>
                <w:szCs w:val="28"/>
                <w:lang w:val="en-US"/>
              </w:rPr>
              <w:t xml:space="preserve"> for pupils with exceptional needs.</w:t>
            </w:r>
          </w:p>
          <w:p w14:paraId="2A7D553C" w14:textId="77777777" w:rsidR="00A05EB5" w:rsidRDefault="00A05EB5" w:rsidP="00A05EB5">
            <w:pPr>
              <w:pStyle w:val="TableRow"/>
              <w:rPr>
                <w:i/>
                <w:sz w:val="22"/>
              </w:rPr>
            </w:pP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D" w14:textId="5AEC633C" w:rsidR="00A05EB5" w:rsidRDefault="00A05EB5" w:rsidP="00A05EB5">
            <w:pPr>
              <w:pStyle w:val="TableRowCentered"/>
              <w:jc w:val="left"/>
              <w:rPr>
                <w:sz w:val="22"/>
              </w:rPr>
            </w:pPr>
            <w:r w:rsidRPr="00E27862">
              <w:rPr>
                <w:color w:val="auto"/>
                <w:szCs w:val="22"/>
              </w:rPr>
              <w:t>Based on our experiences and those of similar schools to ours, we have identified a need to set a small amount of funding aside to respond quickly to needs that have not yet been identified.</w:t>
            </w:r>
          </w:p>
        </w:tc>
        <w:tc>
          <w:tcPr>
            <w:tcW w:w="1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7D6492F4" w:rsidR="00A05EB5" w:rsidRDefault="009133B9" w:rsidP="00A05EB5">
            <w:pPr>
              <w:pStyle w:val="TableRowCentered"/>
              <w:jc w:val="left"/>
              <w:rPr>
                <w:sz w:val="22"/>
              </w:rPr>
            </w:pPr>
            <w:r>
              <w:rPr>
                <w:sz w:val="22"/>
              </w:rPr>
              <w:t>All</w:t>
            </w:r>
          </w:p>
        </w:tc>
      </w:tr>
    </w:tbl>
    <w:p w14:paraId="2A7D5540" w14:textId="77777777" w:rsidR="00E66558" w:rsidRDefault="00E66558">
      <w:pPr>
        <w:spacing w:before="240" w:after="0"/>
        <w:rPr>
          <w:b/>
          <w:bCs/>
          <w:color w:val="104F75"/>
          <w:sz w:val="28"/>
          <w:szCs w:val="28"/>
        </w:rPr>
      </w:pPr>
    </w:p>
    <w:p w14:paraId="2A7D5541" w14:textId="53C6C0EB" w:rsidR="00E66558" w:rsidRPr="00212908" w:rsidRDefault="009D71E8" w:rsidP="00120AB1">
      <w:pPr>
        <w:rPr>
          <w:color w:val="auto"/>
        </w:rPr>
      </w:pPr>
      <w:r w:rsidRPr="00212908">
        <w:rPr>
          <w:b/>
          <w:bCs/>
          <w:color w:val="auto"/>
          <w:sz w:val="28"/>
          <w:szCs w:val="28"/>
        </w:rPr>
        <w:t xml:space="preserve">Total budgeted cost: £ </w:t>
      </w:r>
      <w:r w:rsidR="00370999">
        <w:rPr>
          <w:b/>
          <w:bCs/>
          <w:color w:val="auto"/>
          <w:sz w:val="28"/>
          <w:szCs w:val="28"/>
        </w:rPr>
        <w:t>19645</w:t>
      </w:r>
    </w:p>
    <w:p w14:paraId="2A7D5542" w14:textId="77777777" w:rsidR="00E66558" w:rsidRPr="00212908" w:rsidRDefault="009D71E8">
      <w:pPr>
        <w:pStyle w:val="Heading1"/>
        <w:rPr>
          <w:color w:val="auto"/>
        </w:rPr>
      </w:pPr>
      <w:r w:rsidRPr="00212908">
        <w:rPr>
          <w:color w:val="auto"/>
        </w:rPr>
        <w:lastRenderedPageBreak/>
        <w:t>Part B: Review of outcomes in the previous academic year</w:t>
      </w:r>
    </w:p>
    <w:p w14:paraId="2A7D5543" w14:textId="77777777" w:rsidR="00E66558" w:rsidRPr="00212908" w:rsidRDefault="009D71E8">
      <w:pPr>
        <w:pStyle w:val="Heading2"/>
        <w:rPr>
          <w:color w:val="auto"/>
        </w:rPr>
      </w:pPr>
      <w:r w:rsidRPr="00212908">
        <w:rPr>
          <w:color w:val="auto"/>
        </w:rPr>
        <w:t>Pupil premium strategy outcomes</w:t>
      </w:r>
    </w:p>
    <w:p w14:paraId="2A7D5544" w14:textId="311EBD12" w:rsidR="00E66558" w:rsidRDefault="009D71E8">
      <w:r>
        <w:t>This details the impact that our pupil premium activity had on pupils in the 202</w:t>
      </w:r>
      <w:r w:rsidR="00E25B42">
        <w:t>2</w:t>
      </w:r>
      <w:r>
        <w:t xml:space="preserve"> to 202</w:t>
      </w:r>
      <w:r w:rsidR="00E25B42">
        <w:t>3</w:t>
      </w:r>
      <w:r w:rsidR="00037BD7">
        <w:t xml:space="preserve"> </w:t>
      </w:r>
      <w:r>
        <w:t xml:space="preserve">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86D9" w14:textId="2E8F504C" w:rsidR="00CA3A21" w:rsidRPr="0025305E" w:rsidRDefault="00F230EF">
            <w:pPr>
              <w:rPr>
                <w:iCs/>
              </w:rPr>
            </w:pPr>
            <w:r w:rsidRPr="0025305E">
              <w:rPr>
                <w:iCs/>
              </w:rPr>
              <w:t>Our analysis of the year 202</w:t>
            </w:r>
            <w:r w:rsidR="00037BD7" w:rsidRPr="0025305E">
              <w:rPr>
                <w:iCs/>
              </w:rPr>
              <w:t xml:space="preserve">2/23 </w:t>
            </w:r>
            <w:r w:rsidRPr="0025305E">
              <w:rPr>
                <w:iCs/>
              </w:rPr>
              <w:t xml:space="preserve">suggested that </w:t>
            </w:r>
            <w:r w:rsidR="0031660E" w:rsidRPr="0025305E">
              <w:rPr>
                <w:iCs/>
              </w:rPr>
              <w:t>the ne</w:t>
            </w:r>
            <w:r w:rsidR="00BA78BE" w:rsidRPr="0025305E">
              <w:rPr>
                <w:iCs/>
              </w:rPr>
              <w:t>e</w:t>
            </w:r>
            <w:r w:rsidR="0031660E" w:rsidRPr="0025305E">
              <w:rPr>
                <w:iCs/>
              </w:rPr>
              <w:t xml:space="preserve">ds of pupils are </w:t>
            </w:r>
            <w:r w:rsidR="00BA78BE" w:rsidRPr="0025305E">
              <w:rPr>
                <w:iCs/>
              </w:rPr>
              <w:t>changing and alongside SEMH pupils</w:t>
            </w:r>
            <w:r w:rsidR="005F57A5" w:rsidRPr="0025305E">
              <w:rPr>
                <w:iCs/>
              </w:rPr>
              <w:t xml:space="preserve"> we</w:t>
            </w:r>
            <w:r w:rsidR="00BA78BE" w:rsidRPr="0025305E">
              <w:rPr>
                <w:iCs/>
              </w:rPr>
              <w:t xml:space="preserve"> have </w:t>
            </w:r>
            <w:r w:rsidR="00253B64" w:rsidRPr="0025305E">
              <w:rPr>
                <w:iCs/>
              </w:rPr>
              <w:t xml:space="preserve">a higher number of pupils with </w:t>
            </w:r>
            <w:r w:rsidR="00BA78BE" w:rsidRPr="0025305E">
              <w:rPr>
                <w:iCs/>
              </w:rPr>
              <w:t>need</w:t>
            </w:r>
            <w:r w:rsidR="00146225" w:rsidRPr="0025305E">
              <w:rPr>
                <w:iCs/>
              </w:rPr>
              <w:t>s</w:t>
            </w:r>
            <w:r w:rsidR="00BA78BE" w:rsidRPr="0025305E">
              <w:rPr>
                <w:iCs/>
              </w:rPr>
              <w:t xml:space="preserve"> in cognition and learning</w:t>
            </w:r>
            <w:r w:rsidR="00146225" w:rsidRPr="0025305E">
              <w:rPr>
                <w:iCs/>
              </w:rPr>
              <w:t xml:space="preserve"> and</w:t>
            </w:r>
            <w:r w:rsidR="00BA78BE" w:rsidRPr="0025305E">
              <w:rPr>
                <w:iCs/>
              </w:rPr>
              <w:t xml:space="preserve"> communication and interaction</w:t>
            </w:r>
            <w:r w:rsidR="005F57A5" w:rsidRPr="0025305E">
              <w:rPr>
                <w:iCs/>
              </w:rPr>
              <w:t xml:space="preserve">. </w:t>
            </w:r>
            <w:r w:rsidR="00B5153A" w:rsidRPr="0025305E">
              <w:rPr>
                <w:iCs/>
              </w:rPr>
              <w:t xml:space="preserve"> </w:t>
            </w:r>
            <w:r w:rsidR="00037BD7" w:rsidRPr="0025305E">
              <w:rPr>
                <w:iCs/>
              </w:rPr>
              <w:t xml:space="preserve"> </w:t>
            </w:r>
            <w:r w:rsidR="00146225" w:rsidRPr="0025305E">
              <w:rPr>
                <w:iCs/>
              </w:rPr>
              <w:t>Pupils are needing a higher level of support and staff require further training to support these needs.</w:t>
            </w:r>
            <w:r w:rsidR="0025305E">
              <w:rPr>
                <w:iCs/>
              </w:rPr>
              <w:t xml:space="preserve">  This has been added to the strategy for academic year 2023-24.</w:t>
            </w:r>
            <w:r w:rsidR="00146225" w:rsidRPr="0025305E">
              <w:rPr>
                <w:iCs/>
              </w:rPr>
              <w:t xml:space="preserve">  </w:t>
            </w:r>
          </w:p>
          <w:p w14:paraId="0ED410FB" w14:textId="05A95B21" w:rsidR="00A82665" w:rsidRDefault="00A82665">
            <w:pPr>
              <w:rPr>
                <w:iCs/>
                <w:lang w:eastAsia="en-US"/>
              </w:rPr>
            </w:pPr>
            <w:r w:rsidRPr="0025305E">
              <w:rPr>
                <w:iCs/>
                <w:lang w:eastAsia="en-US"/>
              </w:rPr>
              <w:t xml:space="preserve">Pupils transitioning into school are requiring a higher level of support following extended time on part time timetables whilst not managing in mainstream school. </w:t>
            </w:r>
            <w:r w:rsidR="00374273" w:rsidRPr="0025305E">
              <w:rPr>
                <w:iCs/>
                <w:lang w:eastAsia="en-US"/>
              </w:rPr>
              <w:t xml:space="preserve">Funding for </w:t>
            </w:r>
            <w:proofErr w:type="gramStart"/>
            <w:r w:rsidR="00374273" w:rsidRPr="0025305E">
              <w:rPr>
                <w:iCs/>
                <w:lang w:eastAsia="en-US"/>
              </w:rPr>
              <w:t>2 day</w:t>
            </w:r>
            <w:proofErr w:type="gramEnd"/>
            <w:r w:rsidR="00374273" w:rsidRPr="0025305E">
              <w:rPr>
                <w:iCs/>
                <w:lang w:eastAsia="en-US"/>
              </w:rPr>
              <w:t xml:space="preserve"> member of intervention staff has supported this alongside </w:t>
            </w:r>
            <w:r w:rsidR="0025305E" w:rsidRPr="0025305E">
              <w:rPr>
                <w:iCs/>
                <w:lang w:eastAsia="en-US"/>
              </w:rPr>
              <w:t xml:space="preserve">supporting pupils in meeting MSP and EHCP targets. </w:t>
            </w:r>
          </w:p>
          <w:p w14:paraId="145CC5C1" w14:textId="1C0CBCB0" w:rsidR="00833B1B" w:rsidRPr="0025305E" w:rsidRDefault="00833B1B">
            <w:pPr>
              <w:rPr>
                <w:iCs/>
                <w:lang w:eastAsia="en-US"/>
              </w:rPr>
            </w:pPr>
            <w:r>
              <w:rPr>
                <w:iCs/>
                <w:lang w:eastAsia="en-US"/>
              </w:rPr>
              <w:t xml:space="preserve">Additional RWI resources were purchased </w:t>
            </w:r>
            <w:r w:rsidR="00045C59">
              <w:rPr>
                <w:iCs/>
                <w:lang w:eastAsia="en-US"/>
              </w:rPr>
              <w:t xml:space="preserve">and staff time allocated for peer observations to ensure more effective teaching and assessment for pupils. </w:t>
            </w:r>
          </w:p>
          <w:p w14:paraId="6A354447" w14:textId="2E7ACF32" w:rsidR="00CA3A21" w:rsidRDefault="00CA3A21">
            <w:r>
              <w:t xml:space="preserve">Pupils premium funding was used for improving parental engagement though </w:t>
            </w:r>
            <w:r w:rsidR="00B65885">
              <w:t xml:space="preserve">supporting parents with transport to attend parent consultations and parent events.  </w:t>
            </w:r>
          </w:p>
          <w:p w14:paraId="2A7D5546" w14:textId="47B3C16B" w:rsidR="00161559" w:rsidRDefault="00161559">
            <w:r>
              <w:t xml:space="preserve">Funding was also used to enhance our quality first teaching offer with additional well-trained staff to support pupils’ physical and mental health and wellbeing through the bespoke outdoor curriculum.  </w:t>
            </w:r>
            <w:r w:rsidR="00E01B7B">
              <w:t>Staff were trained in the use of the ISHA approach for handwriting</w:t>
            </w:r>
            <w:r w:rsidR="00833B1B">
              <w:t>,</w:t>
            </w:r>
            <w:r w:rsidR="00E01B7B">
              <w:t xml:space="preserve"> </w:t>
            </w:r>
            <w:r w:rsidR="0025305E">
              <w:t>following Ofsted</w:t>
            </w:r>
            <w:r w:rsidR="00833B1B">
              <w:t xml:space="preserve">, </w:t>
            </w:r>
            <w:r w:rsidR="00E01B7B">
              <w:t xml:space="preserve">which will be </w:t>
            </w:r>
            <w:r w:rsidR="00674443">
              <w:t>embedded</w:t>
            </w:r>
            <w:r w:rsidR="00E01B7B">
              <w:t xml:space="preserve"> in year 2023-24</w:t>
            </w:r>
            <w:r w:rsidR="005D4E15">
              <w:t xml:space="preserve"> with further staff training and purchases of resources to support.</w:t>
            </w:r>
          </w:p>
        </w:tc>
      </w:tr>
    </w:tbl>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headerReference w:type="default" r:id="rId19"/>
      <w:footerReference w:type="default" r:id="rId2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5E71F" w14:textId="77777777" w:rsidR="00C957EE" w:rsidRDefault="00C957EE">
      <w:pPr>
        <w:spacing w:after="0" w:line="240" w:lineRule="auto"/>
      </w:pPr>
      <w:r>
        <w:separator/>
      </w:r>
    </w:p>
  </w:endnote>
  <w:endnote w:type="continuationSeparator" w:id="0">
    <w:p w14:paraId="16D8D9A7" w14:textId="77777777" w:rsidR="00C957EE" w:rsidRDefault="00C95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A76260"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D4FE2" w14:textId="77777777" w:rsidR="00C957EE" w:rsidRDefault="00C957EE">
      <w:pPr>
        <w:spacing w:after="0" w:line="240" w:lineRule="auto"/>
      </w:pPr>
      <w:r>
        <w:separator/>
      </w:r>
    </w:p>
  </w:footnote>
  <w:footnote w:type="continuationSeparator" w:id="0">
    <w:p w14:paraId="0825A4E6" w14:textId="77777777" w:rsidR="00C957EE" w:rsidRDefault="00C95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4ED30C00" w:rsidR="00A76260" w:rsidRDefault="00C367C8">
    <w:pPr>
      <w:pStyle w:val="Header"/>
    </w:pPr>
    <w:r>
      <w:rPr>
        <w:noProof/>
      </w:rPr>
      <w:drawing>
        <wp:anchor distT="0" distB="0" distL="114300" distR="114300" simplePos="0" relativeHeight="251659264" behindDoc="1" locked="0" layoutInCell="1" allowOverlap="1" wp14:anchorId="11802C2D" wp14:editId="516ED2FC">
          <wp:simplePos x="0" y="0"/>
          <wp:positionH relativeFrom="margin">
            <wp:posOffset>4937760</wp:posOffset>
          </wp:positionH>
          <wp:positionV relativeFrom="paragraph">
            <wp:posOffset>-326390</wp:posOffset>
          </wp:positionV>
          <wp:extent cx="1416050" cy="876300"/>
          <wp:effectExtent l="0" t="0" r="0" b="0"/>
          <wp:wrapTight wrapText="bothSides">
            <wp:wrapPolygon edited="0">
              <wp:start x="0" y="0"/>
              <wp:lineTo x="0" y="21130"/>
              <wp:lineTo x="21213" y="21130"/>
              <wp:lineTo x="212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9413" b="4301"/>
                  <a:stretch/>
                </pic:blipFill>
                <pic:spPr bwMode="auto">
                  <a:xfrm>
                    <a:off x="0" y="0"/>
                    <a:ext cx="1416050" cy="876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76969C3"/>
    <w:multiLevelType w:val="multilevel"/>
    <w:tmpl w:val="4BCC6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02427192">
    <w:abstractNumId w:val="3"/>
  </w:num>
  <w:num w:numId="2" w16cid:durableId="1450780954">
    <w:abstractNumId w:val="1"/>
  </w:num>
  <w:num w:numId="3" w16cid:durableId="1299535363">
    <w:abstractNumId w:val="4"/>
  </w:num>
  <w:num w:numId="4" w16cid:durableId="440296772">
    <w:abstractNumId w:val="5"/>
  </w:num>
  <w:num w:numId="5" w16cid:durableId="400100316">
    <w:abstractNumId w:val="0"/>
  </w:num>
  <w:num w:numId="6" w16cid:durableId="1383214699">
    <w:abstractNumId w:val="7"/>
  </w:num>
  <w:num w:numId="7" w16cid:durableId="1646856903">
    <w:abstractNumId w:val="9"/>
  </w:num>
  <w:num w:numId="8" w16cid:durableId="625241610">
    <w:abstractNumId w:val="13"/>
  </w:num>
  <w:num w:numId="9" w16cid:durableId="1023441118">
    <w:abstractNumId w:val="11"/>
  </w:num>
  <w:num w:numId="10" w16cid:durableId="1156187469">
    <w:abstractNumId w:val="10"/>
  </w:num>
  <w:num w:numId="11" w16cid:durableId="1685329283">
    <w:abstractNumId w:val="2"/>
  </w:num>
  <w:num w:numId="12" w16cid:durableId="1989744638">
    <w:abstractNumId w:val="12"/>
  </w:num>
  <w:num w:numId="13" w16cid:durableId="78799598">
    <w:abstractNumId w:val="8"/>
  </w:num>
  <w:num w:numId="14" w16cid:durableId="13059359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25C0"/>
    <w:rsid w:val="00037BD7"/>
    <w:rsid w:val="00045C59"/>
    <w:rsid w:val="00066B73"/>
    <w:rsid w:val="000A1D71"/>
    <w:rsid w:val="000C7ED3"/>
    <w:rsid w:val="000E7E55"/>
    <w:rsid w:val="001071DB"/>
    <w:rsid w:val="00120AB1"/>
    <w:rsid w:val="001214A2"/>
    <w:rsid w:val="0013043A"/>
    <w:rsid w:val="001378C1"/>
    <w:rsid w:val="00146225"/>
    <w:rsid w:val="00161559"/>
    <w:rsid w:val="00181AD3"/>
    <w:rsid w:val="001A28A9"/>
    <w:rsid w:val="001A777A"/>
    <w:rsid w:val="001B34DA"/>
    <w:rsid w:val="00212908"/>
    <w:rsid w:val="002235D7"/>
    <w:rsid w:val="00232E30"/>
    <w:rsid w:val="00241DF1"/>
    <w:rsid w:val="0025305E"/>
    <w:rsid w:val="00253B64"/>
    <w:rsid w:val="002B7482"/>
    <w:rsid w:val="002F2FE1"/>
    <w:rsid w:val="0031660E"/>
    <w:rsid w:val="00332DC7"/>
    <w:rsid w:val="00342882"/>
    <w:rsid w:val="00346792"/>
    <w:rsid w:val="00360865"/>
    <w:rsid w:val="00370999"/>
    <w:rsid w:val="00374273"/>
    <w:rsid w:val="003915DA"/>
    <w:rsid w:val="003D2FB9"/>
    <w:rsid w:val="004044AA"/>
    <w:rsid w:val="00431DD0"/>
    <w:rsid w:val="00464F74"/>
    <w:rsid w:val="004672F8"/>
    <w:rsid w:val="004D5B3A"/>
    <w:rsid w:val="004F4BFD"/>
    <w:rsid w:val="00507D7B"/>
    <w:rsid w:val="00537F80"/>
    <w:rsid w:val="0056554F"/>
    <w:rsid w:val="00570CE6"/>
    <w:rsid w:val="0058608A"/>
    <w:rsid w:val="005D4E15"/>
    <w:rsid w:val="005F1EAD"/>
    <w:rsid w:val="005F57A5"/>
    <w:rsid w:val="006126DA"/>
    <w:rsid w:val="006303A2"/>
    <w:rsid w:val="00644914"/>
    <w:rsid w:val="00670C83"/>
    <w:rsid w:val="00674443"/>
    <w:rsid w:val="00677495"/>
    <w:rsid w:val="006E7FB1"/>
    <w:rsid w:val="00703037"/>
    <w:rsid w:val="0070771A"/>
    <w:rsid w:val="00732861"/>
    <w:rsid w:val="00741B9E"/>
    <w:rsid w:val="0076697D"/>
    <w:rsid w:val="00794E38"/>
    <w:rsid w:val="007C2F04"/>
    <w:rsid w:val="00812207"/>
    <w:rsid w:val="00833B1B"/>
    <w:rsid w:val="00851769"/>
    <w:rsid w:val="00855E58"/>
    <w:rsid w:val="00877D8B"/>
    <w:rsid w:val="00883B37"/>
    <w:rsid w:val="008A517B"/>
    <w:rsid w:val="008D2FE3"/>
    <w:rsid w:val="009038BA"/>
    <w:rsid w:val="009133B9"/>
    <w:rsid w:val="009473A3"/>
    <w:rsid w:val="00997C11"/>
    <w:rsid w:val="009B07FA"/>
    <w:rsid w:val="009D71E8"/>
    <w:rsid w:val="00A05EB5"/>
    <w:rsid w:val="00A76E14"/>
    <w:rsid w:val="00A82398"/>
    <w:rsid w:val="00A82665"/>
    <w:rsid w:val="00AE16D3"/>
    <w:rsid w:val="00AF158A"/>
    <w:rsid w:val="00B0061A"/>
    <w:rsid w:val="00B5153A"/>
    <w:rsid w:val="00B627F5"/>
    <w:rsid w:val="00B65885"/>
    <w:rsid w:val="00B70D99"/>
    <w:rsid w:val="00BA78BE"/>
    <w:rsid w:val="00BF52FE"/>
    <w:rsid w:val="00C10E35"/>
    <w:rsid w:val="00C367C8"/>
    <w:rsid w:val="00C82597"/>
    <w:rsid w:val="00C957EE"/>
    <w:rsid w:val="00CA3A21"/>
    <w:rsid w:val="00CB7DCC"/>
    <w:rsid w:val="00CC5B56"/>
    <w:rsid w:val="00CF5714"/>
    <w:rsid w:val="00D03A41"/>
    <w:rsid w:val="00D33FE5"/>
    <w:rsid w:val="00D943C7"/>
    <w:rsid w:val="00DA5944"/>
    <w:rsid w:val="00DD5DAB"/>
    <w:rsid w:val="00E01B7B"/>
    <w:rsid w:val="00E04648"/>
    <w:rsid w:val="00E06E35"/>
    <w:rsid w:val="00E25B42"/>
    <w:rsid w:val="00E66558"/>
    <w:rsid w:val="00E75C45"/>
    <w:rsid w:val="00E804E6"/>
    <w:rsid w:val="00E82CFE"/>
    <w:rsid w:val="00E91EC0"/>
    <w:rsid w:val="00EA7FAA"/>
    <w:rsid w:val="00EC7BFC"/>
    <w:rsid w:val="00EF55B6"/>
    <w:rsid w:val="00F13F1E"/>
    <w:rsid w:val="00F230EF"/>
    <w:rsid w:val="00F557A7"/>
    <w:rsid w:val="00F73647"/>
    <w:rsid w:val="00F843B4"/>
    <w:rsid w:val="00FB1116"/>
    <w:rsid w:val="00FC2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559"/>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pull-single">
    <w:name w:val="pull-single"/>
    <w:basedOn w:val="DefaultParagraphFont"/>
    <w:rsid w:val="00913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endowmentfoundation.org.uk/evidence-summaries/teaching-learning-toolkit/phonics/" TargetMode="External"/><Relationship Id="rId18" Type="http://schemas.openxmlformats.org/officeDocument/2006/relationships/hyperlink" Target="https://educationendowmentfoundation.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ducationendowmentfoundation.org.uk/evidence-summaries/teaching-learning-toolkit/phonics/" TargetMode="External"/><Relationship Id="rId17" Type="http://schemas.openxmlformats.org/officeDocument/2006/relationships/hyperlink" Target="https://educationendowmentfoundation.org.uk/evidence-summaries/teaching-learning-toolkit/small-group-tuition/" TargetMode="Externa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one-to-one-tui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endowmentfoundation.org.uk/evidence-summaries/teaching-learning-toolkit/oral-language-interventions/" TargetMode="External"/><Relationship Id="rId5" Type="http://schemas.openxmlformats.org/officeDocument/2006/relationships/numbering" Target="numbering.xml"/><Relationship Id="rId15" Type="http://schemas.openxmlformats.org/officeDocument/2006/relationships/hyperlink" Target="https://educationendowmentfoundation.org.uk/evidence-summaries/teaching-learning-toolkit/small-group-tuition/"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education-evidence/teaching-learning-toolkit/one-to-one-tuitio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ED8F2ABECE7E499E3FCBE012A55324" ma:contentTypeVersion="19" ma:contentTypeDescription="Create a new document." ma:contentTypeScope="" ma:versionID="ac5bc03c8e285fb093e0c73c011fa11a">
  <xsd:schema xmlns:xsd="http://www.w3.org/2001/XMLSchema" xmlns:xs="http://www.w3.org/2001/XMLSchema" xmlns:p="http://schemas.microsoft.com/office/2006/metadata/properties" xmlns:ns2="f33f444e-07d2-470e-bfac-10e369e5e3f9" xmlns:ns3="d01f1020-f10d-4619-9749-b7c5ed6b3df9" targetNamespace="http://schemas.microsoft.com/office/2006/metadata/properties" ma:root="true" ma:fieldsID="ce3691b1450b1ed154393c995d1c8ca6" ns2:_="" ns3:_="">
    <xsd:import namespace="f33f444e-07d2-470e-bfac-10e369e5e3f9"/>
    <xsd:import namespace="d01f1020-f10d-4619-9749-b7c5ed6b3df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f444e-07d2-470e-bfac-10e369e5e3f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ec38fa9-2925-4520-87af-3b11d0d82924}" ma:internalName="TaxCatchAll" ma:showField="CatchAllData" ma:web="f33f444e-07d2-470e-bfac-10e369e5e3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1f1020-f10d-4619-9749-b7c5ed6b3d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97d3c0e-caa1-423a-b50f-62ddbe6b2e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33f444e-07d2-470e-bfac-10e369e5e3f9">UXXS4VCRCAFV-1369068400-16444</_dlc_DocId>
    <_dlc_DocIdUrl xmlns="f33f444e-07d2-470e-bfac-10e369e5e3f9">
      <Url>https://pupilreferral.sharepoint.com/sites/EASLTShared/_layouts/15/DocIdRedir.aspx?ID=UXXS4VCRCAFV-1369068400-16444</Url>
      <Description>UXXS4VCRCAFV-1369068400-16444</Description>
    </_dlc_DocIdUrl>
    <SharedWithUsers xmlns="f33f444e-07d2-470e-bfac-10e369e5e3f9">
      <UserInfo>
        <DisplayName>Alison Ward</DisplayName>
        <AccountId>29</AccountId>
        <AccountType/>
      </UserInfo>
      <UserInfo>
        <DisplayName>Gemma Fellows</DisplayName>
        <AccountId>30</AccountId>
        <AccountType/>
      </UserInfo>
    </SharedWithUsers>
    <TaxCatchAll xmlns="f33f444e-07d2-470e-bfac-10e369e5e3f9" xsi:nil="true"/>
    <lcf76f155ced4ddcb4097134ff3c332f xmlns="d01f1020-f10d-4619-9749-b7c5ed6b3df9">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9BCDDC0-671B-4C80-9FF1-57277E47F503}"/>
</file>

<file path=customXml/itemProps2.xml><?xml version="1.0" encoding="utf-8"?>
<ds:datastoreItem xmlns:ds="http://schemas.openxmlformats.org/officeDocument/2006/customXml" ds:itemID="{39C5B32B-10D4-41B1-B6A5-AC4304C600AC}">
  <ds:schemaRefs>
    <ds:schemaRef ds:uri="http://schemas.microsoft.com/sharepoint/v3/contenttype/forms"/>
  </ds:schemaRefs>
</ds:datastoreItem>
</file>

<file path=customXml/itemProps3.xml><?xml version="1.0" encoding="utf-8"?>
<ds:datastoreItem xmlns:ds="http://schemas.openxmlformats.org/officeDocument/2006/customXml" ds:itemID="{612C83C7-BAF3-476D-BC91-45A70688146D}">
  <ds:schemaRefs>
    <ds:schemaRef ds:uri="http://schemas.microsoft.com/office/2006/metadata/properties"/>
    <ds:schemaRef ds:uri="http://schemas.microsoft.com/office/infopath/2007/PartnerControls"/>
    <ds:schemaRef ds:uri="3d0720f0-6a7b-4bd4-b7ba-180546c1d574"/>
    <ds:schemaRef ds:uri="95bd8417-8c0a-4de1-97bc-82173b04f9d6"/>
    <ds:schemaRef ds:uri="f33f444e-07d2-470e-bfac-10e369e5e3f9"/>
    <ds:schemaRef ds:uri="d01f1020-f10d-4619-9749-b7c5ed6b3df9"/>
  </ds:schemaRefs>
</ds:datastoreItem>
</file>

<file path=customXml/itemProps4.xml><?xml version="1.0" encoding="utf-8"?>
<ds:datastoreItem xmlns:ds="http://schemas.openxmlformats.org/officeDocument/2006/customXml" ds:itemID="{535F4DC9-2243-46A5-BFCF-46D85972027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1872</Words>
  <Characters>10954</Characters>
  <Application>Microsoft Office Word</Application>
  <DocSecurity>0</DocSecurity>
  <Lines>438</Lines>
  <Paragraphs>185</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Gemma Harvey</cp:lastModifiedBy>
  <cp:revision>2</cp:revision>
  <cp:lastPrinted>2021-12-08T13:57:00Z</cp:lastPrinted>
  <dcterms:created xsi:type="dcterms:W3CDTF">2026-04-15T13:39:00Z</dcterms:created>
  <dcterms:modified xsi:type="dcterms:W3CDTF">2026-04-15T13:39:00Z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0x010100E1ED8F2ABECE7E499E3FCBE012A55324</vt:lpwstr>
  </property>
  <property fmtid="{D5CDD505-2E9C-101B-9397-08002B2CF9AE}" pid="4" name="IWPGroupOOB">
    <vt:lpwstr>Communications Directorate</vt:lpwstr>
  </property>
  <property fmtid="{D5CDD505-2E9C-101B-9397-08002B2CF9AE}" pid="5" name="_dlc_DocIdItemGuid">
    <vt:lpwstr>0498162e-6a8e-4c77-a1d3-b21b50cfaf10</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